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安阳学院教案撰写评价表</w:t>
      </w:r>
    </w:p>
    <w:tbl>
      <w:tblPr>
        <w:tblStyle w:val="2"/>
        <w:tblpPr w:leftFromText="180" w:rightFromText="180" w:vertAnchor="page" w:horzAnchor="page" w:tblpX="1455" w:tblpY="3293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992"/>
        <w:gridCol w:w="885"/>
        <w:gridCol w:w="1383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spacing w:line="260" w:lineRule="atLeast"/>
              <w:ind w:left="420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任课教师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94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ind w:left="420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评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规定项目编写规范、齐全。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有教学方法和设备使用要求。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书写规范，简洁，图表清晰。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教材分析和教学重点、难点的确定切合实际。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教学环节齐全，能体现教学内容精心设计、教师主导作用、学生主体地位。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课堂教学过程完整，各教学环节时间安排紧凑、合理。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教学方法和教育技术手段的选择能综合考虑课程要求、硬件条件和学生实际。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作业布置有质、量和时间要求。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“课后反思”见解独到，能鉴前毖后。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“参考书目”准确、精当。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11" w:type="dxa"/>
            <w:gridSpan w:val="4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总  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096" w:type="dxa"/>
            <w:gridSpan w:val="5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hint="eastAsia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  <w:lang w:eastAsia="zh-CN"/>
              </w:rPr>
              <w:t>专家签名</w:t>
            </w:r>
            <w:r>
              <w:rPr>
                <w:rFonts w:hint="eastAsia" w:cs="宋体"/>
                <w:color w:val="000000"/>
                <w:sz w:val="24"/>
              </w:rPr>
              <w:t>：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>
            <w:pPr>
              <w:snapToGrid w:val="0"/>
              <w:spacing w:line="260" w:lineRule="atLeast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jZjY2U5N2FhOTE4OGM1YmUwZWJiMWM3NjUyNDgifQ=="/>
  </w:docVars>
  <w:rsids>
    <w:rsidRoot w:val="3A6E6D6F"/>
    <w:rsid w:val="3A6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2024-04-02T07:18:00Z</dcterms:created>
  <dc:creator>看山堂</dc:creator>
  <cp:lastModifiedBy>看山堂</cp:lastModifiedBy>
  <dcterms:modified xsi:type="dcterms:W3CDTF">2024-04-02T07:18:44Z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7177BFDF30FD45C286D221D517D655F1_11</vt:lpwstr>
  </property>
</Properties>
</file>