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219" w:lineRule="auto"/>
        <w:ind w:left="465"/>
        <w:rPr>
          <w:rFonts w:ascii="宋体" w:hAnsi="宋体" w:eastAsia="宋体" w:cs="宋体"/>
          <w:sz w:val="43"/>
          <w:szCs w:val="43"/>
        </w:rPr>
      </w:pPr>
      <w:r>
        <w:rPr>
          <w:rFonts w:ascii="宋体" w:hAnsi="宋体" w:eastAsia="宋体" w:cs="宋体"/>
          <w:spacing w:val="8"/>
          <w:sz w:val="43"/>
          <w:szCs w:val="43"/>
          <w14:textOutline w14:w="6350" w14:cap="flat" w14:cmpd="sng">
            <w14:solidFill>
              <w14:srgbClr w14:val="000000"/>
            </w14:solidFill>
            <w14:prstDash w14:val="solid"/>
            <w14:miter w14:val="0"/>
          </w14:textOutline>
        </w:rPr>
        <w:t>2024年度全国教育科学规划项目申报公告</w:t>
      </w:r>
    </w:p>
    <w:p>
      <w:pPr>
        <w:spacing w:line="425" w:lineRule="auto"/>
        <w:rPr>
          <w:rFonts w:ascii="Arial"/>
          <w:sz w:val="21"/>
        </w:rPr>
      </w:pPr>
    </w:p>
    <w:p>
      <w:pPr>
        <w:pStyle w:val="2"/>
        <w:spacing w:before="101" w:line="333" w:lineRule="auto"/>
        <w:ind w:left="34" w:right="51" w:firstLine="621"/>
        <w:jc w:val="both"/>
      </w:pPr>
      <w:r>
        <w:rPr>
          <w:spacing w:val="12"/>
        </w:rPr>
        <w:t>经全国教育科学规划领导小组批准，现发布《2024年度全</w:t>
      </w:r>
      <w:r>
        <w:rPr>
          <w:spacing w:val="4"/>
        </w:rPr>
        <w:t>国教育科学规划项目选题指南》，并就做好申报工作有关事项公</w:t>
      </w:r>
    </w:p>
    <w:p>
      <w:pPr>
        <w:pStyle w:val="2"/>
        <w:spacing w:line="222" w:lineRule="auto"/>
        <w:ind w:left="17"/>
      </w:pPr>
      <w:r>
        <w:rPr>
          <w:spacing w:val="1"/>
        </w:rPr>
        <w:t>告如下：</w:t>
      </w:r>
    </w:p>
    <w:p>
      <w:pPr>
        <w:pStyle w:val="2"/>
        <w:spacing w:before="195" w:line="333" w:lineRule="auto"/>
        <w:ind w:right="49" w:firstLine="668"/>
        <w:jc w:val="both"/>
      </w:pPr>
      <w:r>
        <w:rPr>
          <w:spacing w:val="12"/>
        </w:rPr>
        <w:t>一、2024年度全国教育科学规划项目申报</w:t>
      </w:r>
      <w:r>
        <w:rPr>
          <w:spacing w:val="11"/>
        </w:rPr>
        <w:t>工作要以习近平</w:t>
      </w:r>
      <w:r>
        <w:rPr>
          <w:spacing w:val="5"/>
        </w:rPr>
        <w:t>新时代中国特色社会主义思想为指导，以习近平总书记关于教育</w:t>
      </w:r>
      <w:r>
        <w:rPr>
          <w:spacing w:val="-5"/>
        </w:rPr>
        <w:t>的重要论述为引领，全面贯彻落实党的二十大精</w:t>
      </w:r>
      <w:r>
        <w:rPr>
          <w:spacing w:val="-6"/>
        </w:rPr>
        <w:t>神，深入实施《中</w:t>
      </w:r>
      <w:r>
        <w:rPr>
          <w:spacing w:val="5"/>
        </w:rPr>
        <w:t>共中央关于加快构建中国特色哲学社会科学的意见》，坚持正确</w:t>
      </w:r>
      <w:r>
        <w:rPr>
          <w:spacing w:val="6"/>
        </w:rPr>
        <w:t>的政治方向、价值取向和学术导向，坚持有</w:t>
      </w:r>
      <w:r>
        <w:rPr>
          <w:spacing w:val="5"/>
        </w:rPr>
        <w:t>组织科研和自主探索</w:t>
      </w:r>
      <w:r>
        <w:rPr>
          <w:spacing w:val="6"/>
        </w:rPr>
        <w:t>相结合，坚持以重大理论和现实问题为主攻方</w:t>
      </w:r>
      <w:r>
        <w:rPr>
          <w:spacing w:val="5"/>
        </w:rPr>
        <w:t>向，坚持基础研究和应用研究并重，鼓励开展跨学科综合研究，切实发挥全国教育科学规划项目的示范引导作用，推动中国教育学学科体系、学术体系、话语体系建设，推进中国教育学自主知识体系构建，更好</w:t>
      </w:r>
    </w:p>
    <w:p>
      <w:pPr>
        <w:pStyle w:val="2"/>
        <w:spacing w:before="1" w:line="222" w:lineRule="auto"/>
        <w:ind w:left="11"/>
      </w:pPr>
      <w:r>
        <w:rPr>
          <w:spacing w:val="6"/>
        </w:rPr>
        <w:t>服务教育强国建设。</w:t>
      </w:r>
    </w:p>
    <w:p>
      <w:pPr>
        <w:pStyle w:val="2"/>
        <w:spacing w:before="185" w:line="334" w:lineRule="auto"/>
        <w:ind w:left="27" w:firstLine="638"/>
        <w:jc w:val="both"/>
      </w:pPr>
      <w:r>
        <w:rPr>
          <w:spacing w:val="6"/>
        </w:rPr>
        <w:t>二、本次受理申报包含国家社会科学基金教育学重点项目、</w:t>
      </w:r>
      <w:r>
        <w:rPr>
          <w:spacing w:val="5"/>
        </w:rPr>
        <w:t>一般项目、青年项目和西部项目；教育部重点项目、青年项目；</w:t>
      </w:r>
    </w:p>
    <w:p>
      <w:pPr>
        <w:pStyle w:val="2"/>
        <w:spacing w:line="221" w:lineRule="auto"/>
        <w:jc w:val="right"/>
      </w:pPr>
      <w:r>
        <w:rPr>
          <w:spacing w:val="2"/>
        </w:rPr>
        <w:t>教育部港澳台教育研究专项（以下简称</w:t>
      </w:r>
      <w:r>
        <w:rPr>
          <w:spacing w:val="-102"/>
        </w:rPr>
        <w:t xml:space="preserve"> </w:t>
      </w:r>
      <w:r>
        <w:rPr>
          <w:spacing w:val="2"/>
        </w:rPr>
        <w:t>“港澳台研究专项”</w:t>
      </w:r>
      <w:r>
        <w:rPr>
          <w:spacing w:val="-68"/>
        </w:rPr>
        <w:t xml:space="preserve"> </w:t>
      </w:r>
      <w:r>
        <w:rPr>
          <w:spacing w:val="2"/>
        </w:rPr>
        <w:t>）。</w:t>
      </w:r>
    </w:p>
    <w:p>
      <w:pPr>
        <w:pStyle w:val="2"/>
        <w:spacing w:before="190" w:line="333" w:lineRule="auto"/>
        <w:ind w:left="4" w:right="49" w:firstLine="670"/>
        <w:jc w:val="both"/>
        <w:rPr>
          <w:spacing w:val="5"/>
        </w:rPr>
      </w:pPr>
      <w:r>
        <w:rPr>
          <w:spacing w:val="4"/>
        </w:rPr>
        <w:t>国家重点项目应围绕科教兴国战略、教育改革发展重要</w:t>
      </w:r>
      <w:r>
        <w:rPr>
          <w:spacing w:val="3"/>
        </w:rPr>
        <w:t>理论</w:t>
      </w:r>
      <w:r>
        <w:rPr>
          <w:spacing w:val="5"/>
        </w:rPr>
        <w:t>和实践问题、教育学科重要基础和前沿问题开展原创性研究，鼓励学科交叉。申请人应具有较好的前期研究基础，预期成果体量和质量应高于一般项目。申报重点项目评审未通过的，原则上不转立为一般项目。</w:t>
      </w:r>
    </w:p>
    <w:p>
      <w:pPr>
        <w:pStyle w:val="2"/>
        <w:spacing w:before="101" w:line="333" w:lineRule="auto"/>
        <w:ind w:right="206" w:firstLine="668"/>
      </w:pPr>
      <w:r>
        <w:rPr>
          <w:spacing w:val="5"/>
        </w:rPr>
        <w:t>国家一般项目应立足教育学科的历史、理论、方法和应用，</w:t>
      </w:r>
      <w:r>
        <w:rPr>
          <w:spacing w:val="10"/>
        </w:rPr>
        <w:t xml:space="preserve"> </w:t>
      </w:r>
      <w:r>
        <w:rPr>
          <w:spacing w:val="5"/>
        </w:rPr>
        <w:t>面向教育改革发展需求和教育学科建设与发展实际，体现申请人</w:t>
      </w:r>
      <w:r>
        <w:rPr>
          <w:spacing w:val="10"/>
        </w:rPr>
        <w:t xml:space="preserve"> </w:t>
      </w:r>
      <w:r>
        <w:rPr>
          <w:spacing w:val="5"/>
        </w:rPr>
        <w:t>的学术素养，围绕对于推进教育理论创新和学术创新具有支撑作</w:t>
      </w:r>
      <w:r>
        <w:rPr>
          <w:spacing w:val="10"/>
        </w:rPr>
        <w:t xml:space="preserve"> </w:t>
      </w:r>
      <w:r>
        <w:rPr>
          <w:spacing w:val="5"/>
        </w:rPr>
        <w:t>用的一般性基础问题、对于推动教育改革发展实践具有指导意义</w:t>
      </w:r>
      <w:r>
        <w:rPr>
          <w:spacing w:val="8"/>
        </w:rPr>
        <w:t>的专题性应用问题，开展具有教育学科视角的创新性研究。</w:t>
      </w:r>
    </w:p>
    <w:p>
      <w:pPr>
        <w:pStyle w:val="2"/>
        <w:spacing w:before="189" w:line="558" w:lineRule="exact"/>
        <w:ind w:left="668"/>
      </w:pPr>
      <w:r>
        <w:rPr>
          <w:spacing w:val="4"/>
          <w:position w:val="18"/>
        </w:rPr>
        <w:t>国家青年项目旨在加强对青年人才的扶持和培养，发挥</w:t>
      </w:r>
      <w:r>
        <w:rPr>
          <w:spacing w:val="3"/>
          <w:position w:val="18"/>
        </w:rPr>
        <w:t>青年</w:t>
      </w:r>
    </w:p>
    <w:p>
      <w:pPr>
        <w:pStyle w:val="2"/>
        <w:spacing w:line="224" w:lineRule="auto"/>
        <w:ind w:left="18"/>
      </w:pPr>
      <w:r>
        <w:rPr>
          <w:spacing w:val="8"/>
        </w:rPr>
        <w:t>学者优势，推进知识创新、理论创新、方法创新和应用创新。</w:t>
      </w:r>
    </w:p>
    <w:p>
      <w:pPr>
        <w:pStyle w:val="2"/>
        <w:spacing w:before="188" w:line="333" w:lineRule="auto"/>
        <w:ind w:right="192" w:firstLine="668"/>
      </w:pPr>
      <w:r>
        <w:rPr>
          <w:spacing w:val="4"/>
        </w:rPr>
        <w:t>国家西部项目立足西部地区实际和优势，资助推进西部</w:t>
      </w:r>
      <w:r>
        <w:rPr>
          <w:spacing w:val="3"/>
        </w:rPr>
        <w:t>地区</w:t>
      </w:r>
      <w:r>
        <w:rPr>
          <w:spacing w:val="5"/>
        </w:rPr>
        <w:t>教育高质量发展，开展铸牢中华民族共同体意识教育、周边毗邻</w:t>
      </w:r>
      <w:r>
        <w:rPr>
          <w:spacing w:val="7"/>
        </w:rPr>
        <w:t>区域国别教育研究等方面的项目，支持西部地区教育学科建设、人才培养和科研能力提升。</w:t>
      </w:r>
    </w:p>
    <w:p>
      <w:pPr>
        <w:pStyle w:val="2"/>
        <w:spacing w:before="188" w:line="558" w:lineRule="exact"/>
        <w:jc w:val="right"/>
      </w:pPr>
      <w:r>
        <w:rPr>
          <w:spacing w:val="2"/>
          <w:position w:val="18"/>
        </w:rPr>
        <w:t>教育部重点项目旨在支撑教育改革发展，注重教育政策研究，</w:t>
      </w:r>
    </w:p>
    <w:p>
      <w:pPr>
        <w:pStyle w:val="2"/>
        <w:spacing w:before="1" w:line="224" w:lineRule="auto"/>
        <w:ind w:left="7"/>
      </w:pPr>
      <w:r>
        <w:rPr>
          <w:spacing w:val="8"/>
        </w:rPr>
        <w:t>支持教育实践创新，推动教育实践经验的理论化体系化。</w:t>
      </w:r>
    </w:p>
    <w:p>
      <w:pPr>
        <w:pStyle w:val="2"/>
        <w:spacing w:before="185" w:line="556" w:lineRule="exact"/>
        <w:ind w:left="640"/>
      </w:pPr>
      <w:r>
        <w:rPr>
          <w:spacing w:val="5"/>
          <w:position w:val="18"/>
        </w:rPr>
        <w:t>教育部青年项目旨在加强对青年人才的扶持和培养，涵养教</w:t>
      </w:r>
    </w:p>
    <w:p>
      <w:pPr>
        <w:pStyle w:val="2"/>
        <w:spacing w:before="1" w:line="224" w:lineRule="auto"/>
        <w:ind w:left="3"/>
      </w:pPr>
      <w:r>
        <w:rPr>
          <w:spacing w:val="9"/>
        </w:rPr>
        <w:t>育学术人才队伍，拓展教育学术视野，鼓励研究方法</w:t>
      </w:r>
      <w:r>
        <w:rPr>
          <w:spacing w:val="8"/>
        </w:rPr>
        <w:t>创新。</w:t>
      </w:r>
    </w:p>
    <w:p>
      <w:pPr>
        <w:pStyle w:val="2"/>
        <w:spacing w:before="190" w:line="333" w:lineRule="auto"/>
        <w:ind w:left="3" w:right="244" w:firstLine="660"/>
      </w:pPr>
      <w:r>
        <w:rPr>
          <w:spacing w:val="4"/>
        </w:rPr>
        <w:t>三、指南分为重点条目和重要方向两类。申报国家重点项目</w:t>
      </w:r>
      <w:r>
        <w:rPr>
          <w:spacing w:val="1"/>
        </w:rPr>
        <w:t xml:space="preserve"> </w:t>
      </w:r>
      <w:r>
        <w:rPr>
          <w:spacing w:val="5"/>
        </w:rPr>
        <w:t>必须从相应条目中选择，自拟选题不予受理。如确有需要，可对</w:t>
      </w:r>
      <w:r>
        <w:rPr>
          <w:spacing w:val="6"/>
        </w:rPr>
        <w:t xml:space="preserve"> </w:t>
      </w:r>
      <w:r>
        <w:rPr>
          <w:spacing w:val="5"/>
        </w:rPr>
        <w:t>选题进行适当微调，但不得大幅压缩或改变研究内容。每个选题</w:t>
      </w:r>
      <w:r>
        <w:rPr>
          <w:spacing w:val="4"/>
        </w:rPr>
        <w:t>原则上只确立1个立项项目。申报其他类别项</w:t>
      </w:r>
      <w:r>
        <w:rPr>
          <w:spacing w:val="3"/>
        </w:rPr>
        <w:t>目可以自拟选题。</w:t>
      </w:r>
    </w:p>
    <w:p>
      <w:pPr>
        <w:pStyle w:val="2"/>
        <w:spacing w:before="186" w:line="334" w:lineRule="auto"/>
        <w:ind w:left="57" w:right="153" w:firstLine="587"/>
      </w:pPr>
      <w:r>
        <w:rPr>
          <w:spacing w:val="-4"/>
        </w:rPr>
        <w:t>项目名称表述要科学严谨、简明规范，避免引起歧义或争议。</w:t>
      </w:r>
      <w:r>
        <w:rPr>
          <w:spacing w:val="3"/>
        </w:rPr>
        <w:t>自拟选题与按项目指南申报的选题在评审程序、评审标准、立项</w:t>
      </w:r>
      <w:r>
        <w:rPr>
          <w:spacing w:val="8"/>
        </w:rPr>
        <w:t>指标、资助强度等方面同等对待。</w:t>
      </w:r>
      <w:r>
        <w:rPr>
          <w:spacing w:val="3"/>
        </w:rPr>
        <w:t xml:space="preserve">申请人须遵守中华人民共和国宪法和法律，遵守国家社会科 </w:t>
      </w:r>
      <w:r>
        <w:rPr>
          <w:spacing w:val="5"/>
        </w:rPr>
        <w:t>学基金管理规定，具有独立开展研究和组织开展研究的能力，能</w:t>
      </w:r>
      <w:r>
        <w:rPr>
          <w:spacing w:val="12"/>
        </w:rPr>
        <w:t xml:space="preserve"> </w:t>
      </w:r>
      <w:r>
        <w:rPr>
          <w:spacing w:val="5"/>
        </w:rPr>
        <w:t>够承担实质性研究工作，品行端正、学风优良，同时须具备下列</w:t>
      </w:r>
      <w:r>
        <w:rPr>
          <w:spacing w:val="6"/>
        </w:rPr>
        <w:t>相关条件：</w:t>
      </w:r>
    </w:p>
    <w:p>
      <w:pPr>
        <w:pStyle w:val="2"/>
        <w:spacing w:before="189" w:line="333" w:lineRule="auto"/>
        <w:ind w:left="5" w:right="52" w:firstLine="470"/>
      </w:pPr>
      <w:r>
        <w:rPr>
          <w:spacing w:val="8"/>
        </w:rPr>
        <w:t>（一）国家重点项目和一般项目：具有副高级以上（含）专</w:t>
      </w:r>
      <w:r>
        <w:rPr>
          <w:spacing w:val="5"/>
        </w:rPr>
        <w:t>业技术职称（职务）或具有博士学位。申请人可根据自身研究基础、前期成果、项目论证质量、预期研究成果体量等，选择申报</w:t>
      </w:r>
    </w:p>
    <w:p>
      <w:pPr>
        <w:pStyle w:val="2"/>
        <w:spacing w:before="1" w:line="223" w:lineRule="auto"/>
        <w:ind w:left="17"/>
      </w:pPr>
      <w:r>
        <w:rPr>
          <w:spacing w:val="6"/>
        </w:rPr>
        <w:t>重点项目或一般项目。</w:t>
      </w:r>
    </w:p>
    <w:p>
      <w:pPr>
        <w:pStyle w:val="2"/>
        <w:spacing w:before="183" w:line="561" w:lineRule="exact"/>
        <w:ind w:right="52"/>
        <w:jc w:val="right"/>
      </w:pPr>
      <w:r>
        <w:rPr>
          <w:spacing w:val="8"/>
          <w:position w:val="18"/>
        </w:rPr>
        <w:t>（二）青年项目、教育部重点项目、港澳台研究专项：不作</w:t>
      </w:r>
    </w:p>
    <w:p>
      <w:pPr>
        <w:pStyle w:val="2"/>
        <w:spacing w:line="221" w:lineRule="auto"/>
        <w:ind w:left="13"/>
      </w:pPr>
      <w:r>
        <w:rPr>
          <w:spacing w:val="8"/>
        </w:rPr>
        <w:t>专业技术职称（职务）或博士学位要求。</w:t>
      </w:r>
    </w:p>
    <w:p>
      <w:pPr>
        <w:pStyle w:val="2"/>
        <w:spacing w:before="187" w:line="334" w:lineRule="auto"/>
        <w:ind w:left="20" w:right="50" w:firstLine="455"/>
      </w:pPr>
      <w:r>
        <w:rPr>
          <w:spacing w:val="1"/>
        </w:rPr>
        <w:t>（三）青年项目：男性申请人年龄不超过35周岁（1989年5</w:t>
      </w:r>
      <w:r>
        <w:rPr>
          <w:spacing w:val="4"/>
        </w:rPr>
        <w:t>月</w:t>
      </w:r>
      <w:r>
        <w:rPr>
          <w:spacing w:val="-28"/>
        </w:rPr>
        <w:t xml:space="preserve"> </w:t>
      </w:r>
      <w:r>
        <w:rPr>
          <w:spacing w:val="4"/>
        </w:rPr>
        <w:t>31日后出生</w:t>
      </w:r>
      <w:r>
        <w:rPr>
          <w:spacing w:val="38"/>
        </w:rPr>
        <w:t>），</w:t>
      </w:r>
      <w:r>
        <w:rPr>
          <w:spacing w:val="4"/>
        </w:rPr>
        <w:t>女性申请人年龄不超过40周岁（1984年5</w:t>
      </w:r>
      <w:r>
        <w:rPr>
          <w:spacing w:val="-9"/>
        </w:rPr>
        <w:t>月31日后出生）。</w:t>
      </w:r>
    </w:p>
    <w:p>
      <w:pPr>
        <w:pStyle w:val="2"/>
        <w:spacing w:before="187" w:line="333" w:lineRule="auto"/>
        <w:ind w:left="11" w:firstLine="464"/>
      </w:pPr>
      <w:r>
        <w:rPr>
          <w:spacing w:val="8"/>
        </w:rPr>
        <w:t>（四）西部项目：符合（一）或（三）条件，且申请单位位</w:t>
      </w:r>
      <w:r>
        <w:rPr>
          <w:spacing w:val="5"/>
        </w:rPr>
        <w:t>于内蒙古自治区、广西壮族自治区、海南省</w:t>
      </w:r>
      <w:r>
        <w:rPr>
          <w:spacing w:val="4"/>
        </w:rPr>
        <w:t>、重庆市、四川省、</w:t>
      </w:r>
      <w:r>
        <w:rPr>
          <w:spacing w:val="5"/>
        </w:rPr>
        <w:t>贵州省、云南省、西藏自治区、陕西省、甘肃省、青海省、宁夏</w:t>
      </w:r>
      <w:r>
        <w:rPr>
          <w:spacing w:val="8"/>
        </w:rPr>
        <w:t>回族自治区、新疆维吾尔自治区等13个省（自治区、直辖市）</w:t>
      </w:r>
    </w:p>
    <w:p>
      <w:pPr>
        <w:pStyle w:val="2"/>
        <w:spacing w:line="221" w:lineRule="auto"/>
        <w:jc w:val="right"/>
      </w:pPr>
      <w:r>
        <w:rPr>
          <w:spacing w:val="4"/>
        </w:rPr>
        <w:t>和新疆生产建设兵团，</w:t>
      </w:r>
      <w:r>
        <w:rPr>
          <w:spacing w:val="-79"/>
        </w:rPr>
        <w:t xml:space="preserve"> </w:t>
      </w:r>
      <w:r>
        <w:rPr>
          <w:spacing w:val="4"/>
        </w:rPr>
        <w:t>以及其他参照西部项目执行的部分单位。</w:t>
      </w:r>
    </w:p>
    <w:p>
      <w:pPr>
        <w:pStyle w:val="2"/>
        <w:spacing w:before="193" w:line="333" w:lineRule="auto"/>
        <w:ind w:left="6" w:right="49" w:firstLine="469"/>
        <w:rPr>
          <w:spacing w:val="8"/>
        </w:rPr>
      </w:pPr>
      <w:r>
        <w:rPr>
          <w:spacing w:val="11"/>
        </w:rPr>
        <w:t>（五）全日制在读研究生不能申请（学历、学位证书标注日</w:t>
      </w:r>
      <w:r>
        <w:rPr>
          <w:spacing w:val="-3"/>
        </w:rPr>
        <w:t>期均须在2024年5月31日之前）。符合申报要求的在站博士后</w:t>
      </w:r>
      <w:r>
        <w:rPr>
          <w:spacing w:val="5"/>
        </w:rPr>
        <w:t>人员可申请，其中全脱产博士后须从所在博士后工作站申请，在</w:t>
      </w:r>
      <w:r>
        <w:rPr>
          <w:spacing w:val="8"/>
        </w:rPr>
        <w:t>职博士后可以从所在工作单位或博士后工作站申请。</w:t>
      </w:r>
    </w:p>
    <w:p>
      <w:pPr>
        <w:pStyle w:val="2"/>
        <w:spacing w:before="100" w:line="333" w:lineRule="auto"/>
        <w:ind w:left="178" w:right="267" w:firstLine="459"/>
      </w:pPr>
      <w:r>
        <w:rPr>
          <w:spacing w:val="11"/>
        </w:rPr>
        <w:t>（六）各项目组列入研究成员须征得本人同意并签字确认，</w:t>
      </w:r>
      <w:r>
        <w:rPr>
          <w:spacing w:val="5"/>
        </w:rPr>
        <w:t>否则视为违规申报。申请人可根据实际研究需要，吸收境外研究</w:t>
      </w:r>
      <w:r>
        <w:rPr>
          <w:spacing w:val="7"/>
        </w:rPr>
        <w:t>人员作为项目组成员。</w:t>
      </w:r>
    </w:p>
    <w:p>
      <w:pPr>
        <w:pStyle w:val="2"/>
        <w:spacing w:before="194" w:line="333" w:lineRule="auto"/>
        <w:ind w:left="168" w:right="267" w:firstLine="649"/>
      </w:pPr>
      <w:r>
        <w:rPr>
          <w:spacing w:val="4"/>
        </w:rPr>
        <w:t>五、申请单位须符合以下条件：在相关领域具有较雄厚的学</w:t>
      </w:r>
      <w:r>
        <w:rPr>
          <w:spacing w:val="5"/>
        </w:rPr>
        <w:t>术资源和研究实力；设有科研管理职能部门；能够提供开展研究的必要条件并承诺信誉保证。以兼职人员身份从所兼职单位申报的，兼职单位须审核兼职人员正式聘用关系的真实性，承担项目</w:t>
      </w:r>
      <w:r>
        <w:rPr>
          <w:spacing w:val="7"/>
        </w:rPr>
        <w:t>管理职责并承诺信誉保证。</w:t>
      </w:r>
    </w:p>
    <w:p>
      <w:pPr>
        <w:pStyle w:val="2"/>
        <w:spacing w:before="194" w:line="333" w:lineRule="auto"/>
        <w:ind w:firstLine="820"/>
      </w:pPr>
      <w:r>
        <w:rPr>
          <w:spacing w:val="7"/>
        </w:rPr>
        <w:t>六、项目申报范围涉及本年度最新调整的19个学科。依照</w:t>
      </w:r>
      <w:r>
        <w:rPr>
          <w:spacing w:val="10"/>
        </w:rPr>
        <w:t>《全国教育科学规划学科组名称及代码》列出的学科分类代</w:t>
      </w:r>
      <w:r>
        <w:rPr>
          <w:spacing w:val="9"/>
        </w:rPr>
        <w:t>码填</w:t>
      </w:r>
      <w:r>
        <w:rPr>
          <w:spacing w:val="12"/>
        </w:rPr>
        <w:t>写《全国教育科学规划年度项目申请书》（20</w:t>
      </w:r>
      <w:r>
        <w:rPr>
          <w:spacing w:val="11"/>
        </w:rPr>
        <w:t>24年4月制，以</w:t>
      </w:r>
      <w:r>
        <w:rPr>
          <w:spacing w:val="15"/>
        </w:rPr>
        <w:t>下简称《申请书》）。跨学科研究的重点项目要以</w:t>
      </w:r>
      <w:r>
        <w:rPr>
          <w:spacing w:val="-102"/>
        </w:rPr>
        <w:t xml:space="preserve"> </w:t>
      </w:r>
      <w:r>
        <w:rPr>
          <w:spacing w:val="15"/>
        </w:rPr>
        <w:t>“靠近优先”</w:t>
      </w:r>
      <w:r>
        <w:rPr>
          <w:spacing w:val="11"/>
        </w:rPr>
        <w:t>原则，选择一个为主学科申报，同时列出1—2</w:t>
      </w:r>
      <w:r>
        <w:rPr>
          <w:spacing w:val="10"/>
        </w:rPr>
        <w:t>个相关学科。国</w:t>
      </w:r>
      <w:r>
        <w:rPr>
          <w:spacing w:val="23"/>
        </w:rPr>
        <w:t>防军事教育学科的项目申报评审工作由全军军事教育科学规划</w:t>
      </w:r>
      <w:r>
        <w:rPr>
          <w:spacing w:val="6"/>
        </w:rPr>
        <w:t>办公室负责另行组织。</w:t>
      </w:r>
    </w:p>
    <w:p>
      <w:pPr>
        <w:pStyle w:val="2"/>
        <w:spacing w:before="193" w:line="333" w:lineRule="auto"/>
        <w:ind w:left="168" w:right="267" w:firstLine="645"/>
      </w:pPr>
      <w:r>
        <w:rPr>
          <w:spacing w:val="12"/>
        </w:rPr>
        <w:t>七、2024年度全国教育科学规划项目继续实行限额申报，</w:t>
      </w:r>
      <w:r>
        <w:rPr>
          <w:spacing w:val="5"/>
        </w:rPr>
        <w:t>限额指标另行下达。各二级管理单位（含各省级教育规划办，部委直属高校和直属单位、部省合建高校的科研管理部门）和申请人所在单位要着力提高申报质量，从严控制申报数量，减少同类</w:t>
      </w:r>
      <w:r>
        <w:rPr>
          <w:spacing w:val="6"/>
        </w:rPr>
        <w:t>选题重复申报。</w:t>
      </w:r>
    </w:p>
    <w:p>
      <w:pPr>
        <w:pStyle w:val="2"/>
        <w:spacing w:before="193" w:line="333" w:lineRule="auto"/>
        <w:ind w:left="168" w:right="267" w:firstLine="645"/>
        <w:rPr>
          <w:spacing w:val="5"/>
        </w:rPr>
      </w:pPr>
      <w:r>
        <w:rPr>
          <w:rFonts w:hint="eastAsia"/>
          <w:spacing w:val="12"/>
          <w:lang w:eastAsia="zh-CN"/>
        </w:rPr>
        <w:t>八、</w:t>
      </w:r>
      <w:r>
        <w:rPr>
          <w:spacing w:val="12"/>
        </w:rPr>
        <w:t>年度项目的资助额度为：国家社科基金教育学重点项目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w:t>
      </w:r>
      <w:r>
        <w:rPr>
          <w:spacing w:val="12"/>
        </w:rPr>
        <w:fldChar w:fldCharType="begin"/>
      </w:r>
      <w:r>
        <w:rPr>
          <w:spacing w:val="12"/>
        </w:rPr>
        <w:instrText xml:space="preserve"> HYPERLINK "https://onsgep.moe.edu.cn/" </w:instrText>
      </w:r>
      <w:r>
        <w:rPr>
          <w:spacing w:val="12"/>
        </w:rPr>
        <w:fldChar w:fldCharType="separate"/>
      </w:r>
      <w:r>
        <w:rPr>
          <w:spacing w:val="12"/>
        </w:rPr>
        <w:tab/>
      </w:r>
      <w:r>
        <w:rPr>
          <w:spacing w:val="12"/>
        </w:rPr>
        <w:t>https://onsgep.moe.edu.cn/</w:t>
      </w:r>
      <w:r>
        <w:rPr>
          <w:spacing w:val="12"/>
        </w:rPr>
        <w:fldChar w:fldCharType="end"/>
      </w:r>
      <w:r>
        <w:rPr>
          <w:spacing w:val="12"/>
        </w:rPr>
        <w:t>）的要求，根据实际需要编制科学</w:t>
      </w:r>
      <w:r>
        <w:rPr>
          <w:spacing w:val="5"/>
        </w:rPr>
        <w:t>合理的经费预算。</w:t>
      </w:r>
    </w:p>
    <w:p>
      <w:pPr>
        <w:pStyle w:val="2"/>
        <w:spacing w:before="186" w:line="562" w:lineRule="exact"/>
        <w:jc w:val="right"/>
      </w:pPr>
      <w:r>
        <w:rPr>
          <w:position w:val="18"/>
        </w:rPr>
        <w:t>九、全国教育科学规划年度项目的完成时限最长不超过5年，</w:t>
      </w:r>
    </w:p>
    <w:p>
      <w:pPr>
        <w:pStyle w:val="2"/>
        <w:spacing w:line="222" w:lineRule="auto"/>
        <w:ind w:left="161"/>
      </w:pPr>
      <w:r>
        <w:rPr>
          <w:spacing w:val="5"/>
        </w:rPr>
        <w:t>基础理论研究一般为3-5年，应用对策研究一</w:t>
      </w:r>
      <w:r>
        <w:rPr>
          <w:spacing w:val="4"/>
        </w:rPr>
        <w:t>般为2-3年。</w:t>
      </w:r>
    </w:p>
    <w:p>
      <w:pPr>
        <w:pStyle w:val="2"/>
        <w:spacing w:before="184" w:line="334" w:lineRule="auto"/>
        <w:ind w:left="213" w:firstLine="606"/>
      </w:pPr>
      <w:r>
        <w:rPr>
          <w:spacing w:val="2"/>
        </w:rPr>
        <w:t>十、所有申报项目将进行资格审查。为避免一题多报、交叉</w:t>
      </w:r>
      <w:r>
        <w:rPr>
          <w:spacing w:val="1"/>
        </w:rPr>
        <w:t>申请和重复立项，确保申请人有足够的时间和精力从事项目研究，</w:t>
      </w:r>
      <w:r>
        <w:rPr>
          <w:spacing w:val="7"/>
        </w:rPr>
        <w:t>2024年度全国教育科学规划项目申报作如下限</w:t>
      </w:r>
      <w:r>
        <w:rPr>
          <w:spacing w:val="6"/>
        </w:rPr>
        <w:t>定：</w:t>
      </w:r>
    </w:p>
    <w:p>
      <w:pPr>
        <w:pStyle w:val="2"/>
        <w:spacing w:before="185" w:line="334" w:lineRule="auto"/>
        <w:ind w:left="166" w:right="198" w:firstLine="472"/>
      </w:pPr>
      <w:r>
        <w:rPr>
          <w:spacing w:val="8"/>
        </w:rPr>
        <w:t>（一）申请人只能申报一个全国教育科学规划年度项目，且</w:t>
      </w:r>
      <w:r>
        <w:rPr>
          <w:spacing w:val="7"/>
        </w:rPr>
        <w:t>不能作为项目组成员参与申报其他全国教育科学规划年度项目。</w:t>
      </w:r>
      <w:r>
        <w:rPr>
          <w:spacing w:val="5"/>
        </w:rPr>
        <w:t>项目组成员最多参与两个全国教育科学规划年度项目申请；在研</w:t>
      </w:r>
      <w:r>
        <w:rPr>
          <w:spacing w:val="17"/>
        </w:rPr>
        <w:t>国家级项目组成员最多参与一个全国教育科学规划年度项目申</w:t>
      </w:r>
      <w:r>
        <w:rPr>
          <w:spacing w:val="5"/>
        </w:rPr>
        <w:t>请。申报本次年度项目的申请人不能申报2024年国家社会科学</w:t>
      </w:r>
      <w:r>
        <w:rPr>
          <w:spacing w:val="8"/>
        </w:rPr>
        <w:t>基金教育学重大项目。</w:t>
      </w:r>
    </w:p>
    <w:p>
      <w:pPr>
        <w:pStyle w:val="2"/>
        <w:spacing w:before="188" w:line="333" w:lineRule="auto"/>
        <w:ind w:left="166" w:right="146" w:firstLine="472"/>
      </w:pPr>
      <w:r>
        <w:t>（二）在研国家社会科学基金项目、国家自然科学基金项目、</w:t>
      </w:r>
      <w:r>
        <w:rPr>
          <w:spacing w:val="5"/>
        </w:rPr>
        <w:t>教育部人文社会科学研究项目及其他国家级科研项目负责人，不</w:t>
      </w:r>
      <w:r>
        <w:rPr>
          <w:spacing w:val="17"/>
        </w:rPr>
        <w:t>得申报新的全国教育科学规划年度项目（结项证书标注日期在</w:t>
      </w:r>
      <w:r>
        <w:rPr>
          <w:spacing w:val="-9"/>
        </w:rPr>
        <w:t>2024年5月31日之前）。</w:t>
      </w:r>
    </w:p>
    <w:p>
      <w:pPr>
        <w:pStyle w:val="2"/>
        <w:spacing w:before="188" w:line="333" w:lineRule="auto"/>
        <w:ind w:left="166" w:right="146" w:firstLine="472"/>
      </w:pPr>
      <w:r>
        <w:t>（三）国家自然科学基金项目及其他国家级科研项目、教育部人文社会科学研究一般项目的申请人，同年度不能申报全国教育科学规划项目。国家自然科学基金项目及其他国家级科研项目 同年度申请人的项目组成员，也不能作为负责人以内容基本相同或相近选题申请全国教育科学规划项目。</w:t>
      </w:r>
    </w:p>
    <w:p>
      <w:pPr>
        <w:pStyle w:val="2"/>
        <w:spacing w:before="188" w:line="333" w:lineRule="auto"/>
        <w:ind w:left="166" w:right="146" w:firstLine="472"/>
      </w:pPr>
      <w:r>
        <w:t>（四）不得通过变换责任单位回避前述条款规定，不得将内容基本相同或相近的申报材料以不同申请人的名义申报。</w:t>
      </w:r>
    </w:p>
    <w:p>
      <w:pPr>
        <w:pStyle w:val="2"/>
        <w:spacing w:before="188" w:line="333" w:lineRule="auto"/>
        <w:ind w:left="166" w:right="146" w:firstLine="472"/>
      </w:pPr>
      <w:r>
        <w:t>（五）凡在内容上与本人在研或已结项的各类国家级科研项目有较大关联的，须在《申请书》中详细说明所申报项目与已承担项目的联系和区别，否则视为重复申报；不得以内容基本相同或相近的同一成果申请多家基金项目结项。</w:t>
      </w:r>
    </w:p>
    <w:p>
      <w:pPr>
        <w:pStyle w:val="2"/>
        <w:spacing w:before="188" w:line="333" w:lineRule="auto"/>
        <w:ind w:left="166" w:right="146" w:firstLine="472"/>
      </w:pPr>
      <w:r>
        <w:t>（六）凡以博士学位论文或博士后出站报告为基础申报全国教育科学规划年度项目，须在《申请书》中注明所申报项目与学位论文（出站报告）的联系和区别，并承诺在原论文（出站报告） 基础上进行实质性修改，预期成果与学位论文（出站报告）的重复比例不得超过 60%。</w:t>
      </w:r>
    </w:p>
    <w:p>
      <w:pPr>
        <w:pStyle w:val="2"/>
        <w:spacing w:before="188" w:line="333" w:lineRule="auto"/>
        <w:ind w:left="166" w:right="146" w:firstLine="472"/>
      </w:pPr>
      <w:r>
        <w:t>（七）不得使用与已出版的内容基本相同的研究成果申报全国教育科学规划年度项目。</w:t>
      </w:r>
    </w:p>
    <w:p>
      <w:pPr>
        <w:pStyle w:val="2"/>
        <w:spacing w:before="188" w:line="333" w:lineRule="auto"/>
        <w:ind w:left="166" w:right="146" w:firstLine="472"/>
      </w:pPr>
      <w:r>
        <w:t>（八）立项后凡以全国教育科学规划项目名义发表阶段性成果或最终成果，不得同时标注其他基金项目资助字样。</w:t>
      </w:r>
    </w:p>
    <w:p>
      <w:pPr>
        <w:pStyle w:val="2"/>
        <w:spacing w:before="188" w:line="333" w:lineRule="auto"/>
        <w:ind w:left="166" w:right="146" w:firstLine="472"/>
      </w:pPr>
      <w:r>
        <w:t>十一、本年度项目实行同行专家通讯评审。专家对《全国教育科学规划项目论证活页》（以下简称《活页》）进行匿名评审。《活页》论证字数不超过7000字，要按规定的方式列出前期相关研究成果，不得出现任何可能透露申请人身份的信息。中小学和幼儿园申请人申报的项目，实行单列单评。</w:t>
      </w:r>
    </w:p>
    <w:p>
      <w:pPr>
        <w:pStyle w:val="2"/>
        <w:spacing w:before="188" w:line="333" w:lineRule="auto"/>
        <w:ind w:left="166" w:right="146" w:firstLine="472"/>
      </w:pPr>
      <w:r>
        <w:t>十二、申报纪律要求</w:t>
      </w:r>
    </w:p>
    <w:p>
      <w:pPr>
        <w:pStyle w:val="2"/>
        <w:spacing w:before="188" w:line="333" w:lineRule="auto"/>
        <w:ind w:left="166" w:right="146" w:firstLine="472"/>
      </w:pPr>
      <w:r>
        <w:t>（一）贯彻落实中央《关于进一步加强科研诚信建设的若干意见》，申报项目须按照《申请书》和《活页》要求如实填写材料，保证申请信息的真实性和准确性、保证没有知识产权争议、没有违背科研诚信要求的行为。</w:t>
      </w:r>
    </w:p>
    <w:p>
      <w:pPr>
        <w:pStyle w:val="2"/>
        <w:spacing w:before="188" w:line="333" w:lineRule="auto"/>
        <w:ind w:left="166" w:right="146" w:firstLine="472"/>
      </w:pPr>
      <w:r>
        <w:t>（二）申请人要弘扬崇尚精品、严谨治学、注重诚信、讲求责任的优良学风，自觉坚持公平竞争的原则，严格遵守全国教育 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pPr>
        <w:pStyle w:val="2"/>
        <w:spacing w:before="188" w:line="333" w:lineRule="auto"/>
        <w:ind w:left="166" w:right="146" w:firstLine="472"/>
      </w:pPr>
      <w:r>
        <w:t>（三）获准立项后，项目负责人在项目执行期间要遵守相关承诺，履行约定义务，按期完成研究任务，申报时承诺的预期研究成果为项目结项时必须达到的要件，不得擅自变更。除特殊情况外，最终研究成果须先鉴定、后出版，擅自出版者视为自行终止资助协议。如计划用少数民族语言文字或者外语撰写成果，须在《申请书》论证中予以说明。</w:t>
      </w:r>
    </w:p>
    <w:p>
      <w:pPr>
        <w:pStyle w:val="2"/>
        <w:spacing w:before="188" w:line="333" w:lineRule="auto"/>
        <w:ind w:left="166" w:right="146" w:firstLine="472"/>
      </w:pPr>
      <w:r>
        <w:t>（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pPr>
        <w:pStyle w:val="2"/>
        <w:spacing w:before="188" w:line="333" w:lineRule="auto"/>
        <w:ind w:left="166" w:right="146" w:firstLine="472"/>
      </w:pPr>
      <w:r>
        <w:t>十三、本年度实行网络申报。“全国教育科学规划管理平台” （</w:t>
      </w:r>
      <w:r>
        <w:fldChar w:fldCharType="begin"/>
      </w:r>
      <w:r>
        <w:instrText xml:space="preserve"> HYPERLINK "https://202.205.185.227/" </w:instrText>
      </w:r>
      <w:r>
        <w:fldChar w:fldCharType="separate"/>
      </w:r>
      <w:r>
        <w:t>https://202.205.185.227/</w:t>
      </w:r>
      <w:r>
        <w:fldChar w:fldCharType="end"/>
      </w:r>
      <w: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p>
    <w:p>
      <w:pPr>
        <w:pStyle w:val="2"/>
        <w:spacing w:before="188" w:line="333" w:lineRule="auto"/>
        <w:ind w:left="166" w:right="146" w:firstLine="472"/>
      </w:pPr>
      <w:r>
        <w:t>十四、申报时间安排</w:t>
      </w:r>
    </w:p>
    <w:p>
      <w:pPr>
        <w:pStyle w:val="2"/>
        <w:spacing w:before="188" w:line="333" w:lineRule="auto"/>
        <w:ind w:left="166" w:right="146" w:firstLine="472"/>
      </w:pPr>
      <w:r>
        <w:t>申报系统于5月10日零时至5月31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pPr>
        <w:pStyle w:val="2"/>
        <w:spacing w:before="188" w:line="333" w:lineRule="auto"/>
        <w:ind w:left="166" w:right="146" w:firstLine="472"/>
      </w:pPr>
      <w:r>
        <w:t>十五、审核时间安排</w:t>
      </w:r>
    </w:p>
    <w:p>
      <w:pPr>
        <w:pStyle w:val="2"/>
        <w:spacing w:before="188" w:line="333" w:lineRule="auto"/>
        <w:ind w:left="166" w:right="146" w:firstLine="472"/>
      </w:pPr>
      <w:r>
        <w:t>二级管理单位网上审核提交截止时间为2024年6月7日18时。须把加盖公章的《申报数据汇总表》扫描件及审查合格、在限额之内的《申请书》《活页》在平台上提交至全规办。省教育规划办无需在《申请书》上加盖公章。审核期间可以退回修改提</w:t>
      </w:r>
      <w:r>
        <w:t xml:space="preserve"> 交但不能新增申报。请严格按照以上时间要求审核、报送材料，逾期不予受理。</w:t>
      </w:r>
    </w:p>
    <w:p>
      <w:pPr>
        <w:pStyle w:val="2"/>
        <w:spacing w:before="188" w:line="333" w:lineRule="auto"/>
        <w:ind w:left="166" w:right="146" w:firstLine="472"/>
      </w:pPr>
      <w:r>
        <w:t>十六、报送纸质材料时间安排</w:t>
      </w:r>
    </w:p>
    <w:p>
      <w:pPr>
        <w:pStyle w:val="2"/>
        <w:spacing w:before="188" w:line="333" w:lineRule="auto"/>
        <w:ind w:left="166" w:right="146" w:firstLine="472"/>
      </w:pPr>
      <w:r>
        <w:t>申报所有类别项目的《申请书》、《活页》和《申报数据汇总表》均无需寄送纸质版。在平台上提交给全规办的所有材料均视为经过各级单位审核同意的文本。待立项公布后，二级管理单 位在平台上下载所属立项项目的《申请书》（不需要《活页》），每个项目打印1份，加盖公章后统一寄送至全规办。</w:t>
      </w:r>
    </w:p>
    <w:p>
      <w:pPr>
        <w:spacing w:line="327" w:lineRule="auto"/>
        <w:rPr>
          <w:rFonts w:ascii="Arial"/>
          <w:sz w:val="21"/>
        </w:rPr>
      </w:pPr>
    </w:p>
    <w:p>
      <w:pPr>
        <w:spacing w:line="328" w:lineRule="auto"/>
        <w:rPr>
          <w:rFonts w:ascii="Arial"/>
          <w:sz w:val="21"/>
        </w:rPr>
      </w:pPr>
    </w:p>
    <w:p>
      <w:pPr>
        <w:pStyle w:val="2"/>
        <w:spacing w:before="101" w:line="222" w:lineRule="auto"/>
        <w:ind w:left="669"/>
      </w:pPr>
      <w:r>
        <w:rPr>
          <w:spacing w:val="-9"/>
        </w:rPr>
        <w:t>附件</w:t>
      </w:r>
    </w:p>
    <w:p>
      <w:pPr>
        <w:pStyle w:val="2"/>
        <w:spacing w:before="187" w:line="222" w:lineRule="auto"/>
        <w:ind w:left="665"/>
      </w:pPr>
      <w:r>
        <w:rPr>
          <w:spacing w:val="6"/>
        </w:rPr>
        <w:t>1.2024年度全国教育科学规划项目指南.</w:t>
      </w:r>
    </w:p>
    <w:p>
      <w:pPr>
        <w:pStyle w:val="2"/>
        <w:spacing w:before="188" w:line="559" w:lineRule="exact"/>
        <w:ind w:left="658"/>
      </w:pPr>
      <w:r>
        <w:rPr>
          <w:spacing w:val="11"/>
          <w:position w:val="18"/>
        </w:rPr>
        <w:t>2.2024年全国教育科学规划项目（国家重点、国家一般、</w:t>
      </w:r>
    </w:p>
    <w:p>
      <w:pPr>
        <w:pStyle w:val="2"/>
        <w:spacing w:line="220" w:lineRule="auto"/>
        <w:ind w:left="32"/>
      </w:pPr>
      <w:r>
        <w:rPr>
          <w:spacing w:val="8"/>
        </w:rPr>
        <w:t>国家青年、教育部重点、教育部青年、专项）-申请书.</w:t>
      </w:r>
    </w:p>
    <w:p>
      <w:pPr>
        <w:pStyle w:val="2"/>
        <w:spacing w:before="190" w:line="561" w:lineRule="exact"/>
        <w:ind w:left="670"/>
      </w:pPr>
      <w:r>
        <w:rPr>
          <w:spacing w:val="10"/>
          <w:position w:val="18"/>
        </w:rPr>
        <w:t>3.2024年全国教育科学规划项目（国家重点、国家一般、</w:t>
      </w:r>
    </w:p>
    <w:p>
      <w:pPr>
        <w:pStyle w:val="2"/>
        <w:spacing w:before="1" w:line="222" w:lineRule="auto"/>
        <w:ind w:left="32"/>
      </w:pPr>
      <w:r>
        <w:rPr>
          <w:spacing w:val="8"/>
        </w:rPr>
        <w:t>国家青年、教育部重点、教育部青年、专项）-活页.</w:t>
      </w:r>
    </w:p>
    <w:p>
      <w:pPr>
        <w:pStyle w:val="2"/>
        <w:spacing w:before="187" w:line="222" w:lineRule="auto"/>
        <w:ind w:left="657"/>
      </w:pPr>
      <w:r>
        <w:rPr>
          <w:spacing w:val="8"/>
        </w:rPr>
        <w:t>4.2024年度全国教育科学规划项目申</w:t>
      </w:r>
      <w:r>
        <w:rPr>
          <w:spacing w:val="7"/>
        </w:rPr>
        <w:t>报常见问题答疑.</w:t>
      </w:r>
    </w:p>
    <w:p>
      <w:pPr>
        <w:pStyle w:val="2"/>
        <w:spacing w:before="185" w:line="562" w:lineRule="exact"/>
        <w:ind w:right="81"/>
        <w:jc w:val="right"/>
      </w:pPr>
      <w:r>
        <w:rPr>
          <w:spacing w:val="8"/>
          <w:position w:val="18"/>
        </w:rPr>
        <w:t>5.全国教育科学规划</w:t>
      </w:r>
      <w:r>
        <w:rPr>
          <w:spacing w:val="-43"/>
          <w:position w:val="18"/>
        </w:rPr>
        <w:t xml:space="preserve"> </w:t>
      </w:r>
      <w:r>
        <w:rPr>
          <w:spacing w:val="8"/>
          <w:position w:val="18"/>
        </w:rPr>
        <w:t>2024</w:t>
      </w:r>
      <w:r>
        <w:rPr>
          <w:spacing w:val="-51"/>
          <w:position w:val="18"/>
        </w:rPr>
        <w:t xml:space="preserve"> </w:t>
      </w:r>
      <w:r>
        <w:rPr>
          <w:spacing w:val="8"/>
          <w:position w:val="18"/>
        </w:rPr>
        <w:t>年度申报课题汇总表</w:t>
      </w:r>
      <w:r>
        <w:rPr>
          <w:spacing w:val="7"/>
          <w:position w:val="18"/>
        </w:rPr>
        <w:t>（</w:t>
      </w:r>
      <w:r>
        <w:rPr>
          <w:spacing w:val="-86"/>
          <w:position w:val="18"/>
        </w:rPr>
        <w:t xml:space="preserve"> </w:t>
      </w:r>
      <w:r>
        <w:rPr>
          <w:position w:val="18"/>
        </w:rPr>
        <w:t>excel</w:t>
      </w:r>
      <w:r>
        <w:rPr>
          <w:spacing w:val="-58"/>
          <w:position w:val="18"/>
        </w:rPr>
        <w:t xml:space="preserve"> </w:t>
      </w:r>
      <w:r>
        <w:rPr>
          <w:spacing w:val="7"/>
          <w:position w:val="18"/>
        </w:rPr>
        <w:t>格</w:t>
      </w:r>
    </w:p>
    <w:p>
      <w:pPr>
        <w:pStyle w:val="2"/>
        <w:spacing w:line="223" w:lineRule="auto"/>
        <w:ind w:left="28"/>
      </w:pPr>
      <w:r>
        <w:rPr>
          <w:spacing w:val="-12"/>
        </w:rPr>
        <w:t>式）</w:t>
      </w:r>
    </w:p>
    <w:p>
      <w:pPr>
        <w:spacing w:line="340" w:lineRule="auto"/>
        <w:rPr>
          <w:rFonts w:ascii="Arial"/>
          <w:sz w:val="21"/>
        </w:rPr>
      </w:pPr>
    </w:p>
    <w:p>
      <w:pPr>
        <w:spacing w:line="341" w:lineRule="auto"/>
        <w:rPr>
          <w:rFonts w:ascii="Arial"/>
          <w:sz w:val="21"/>
        </w:rPr>
      </w:pPr>
    </w:p>
    <w:p>
      <w:pPr>
        <w:pStyle w:val="2"/>
        <w:spacing w:before="102" w:line="645" w:lineRule="exact"/>
        <w:ind w:left="2538"/>
      </w:pPr>
      <w:r>
        <w:rPr>
          <w:spacing w:val="9"/>
          <w:position w:val="25"/>
        </w:rPr>
        <w:t>全国教育科学规划领导小组办公室</w:t>
      </w:r>
    </w:p>
    <w:p>
      <w:pPr>
        <w:pStyle w:val="2"/>
        <w:spacing w:before="1" w:line="222" w:lineRule="auto"/>
        <w:ind w:left="3699"/>
      </w:pPr>
      <w:r>
        <w:rPr>
          <w:spacing w:val="-8"/>
        </w:rPr>
        <w:t>2024</w:t>
      </w:r>
      <w:r>
        <w:rPr>
          <w:spacing w:val="-52"/>
        </w:rPr>
        <w:t xml:space="preserve"> </w:t>
      </w:r>
      <w:r>
        <w:rPr>
          <w:spacing w:val="-8"/>
        </w:rPr>
        <w:t>年</w:t>
      </w:r>
      <w:r>
        <w:rPr>
          <w:spacing w:val="-52"/>
        </w:rPr>
        <w:t xml:space="preserve"> </w:t>
      </w:r>
      <w:r>
        <w:rPr>
          <w:spacing w:val="-8"/>
        </w:rPr>
        <w:t>4</w:t>
      </w:r>
      <w:r>
        <w:rPr>
          <w:spacing w:val="-46"/>
        </w:rPr>
        <w:t xml:space="preserve"> </w:t>
      </w:r>
      <w:r>
        <w:rPr>
          <w:spacing w:val="-8"/>
        </w:rPr>
        <w:t>月</w:t>
      </w:r>
      <w:r>
        <w:rPr>
          <w:spacing w:val="-36"/>
        </w:rPr>
        <w:t xml:space="preserve"> </w:t>
      </w:r>
      <w:r>
        <w:rPr>
          <w:spacing w:val="-8"/>
        </w:rPr>
        <w:t>30 日</w:t>
      </w:r>
    </w:p>
    <w:p>
      <w:pPr>
        <w:spacing w:line="222" w:lineRule="auto"/>
        <w:sectPr>
          <w:headerReference r:id="rId5" w:type="default"/>
          <w:footerReference r:id="rId6" w:type="default"/>
          <w:pgSz w:w="11906" w:h="16839"/>
          <w:pgMar w:top="400" w:right="1391" w:bottom="1176" w:left="1593" w:header="0" w:footer="1007" w:gutter="0"/>
          <w:cols w:space="720" w:num="1"/>
        </w:sectPr>
      </w:pPr>
    </w:p>
    <w:p>
      <w:pPr>
        <w:pStyle w:val="2"/>
        <w:spacing w:before="101" w:line="222" w:lineRule="auto"/>
        <w:ind w:left="28"/>
      </w:pPr>
      <w:r>
        <w:rPr>
          <w:spacing w:val="-4"/>
        </w:rPr>
        <w:t>附件1</w:t>
      </w:r>
    </w:p>
    <w:p>
      <w:pPr>
        <w:spacing w:line="256" w:lineRule="auto"/>
        <w:rPr>
          <w:rFonts w:ascii="Arial"/>
          <w:sz w:val="21"/>
        </w:rPr>
      </w:pPr>
    </w:p>
    <w:p>
      <w:pPr>
        <w:spacing w:before="139" w:line="221" w:lineRule="auto"/>
        <w:ind w:left="462"/>
        <w:rPr>
          <w:rFonts w:ascii="宋体" w:hAnsi="宋体" w:eastAsia="宋体" w:cs="宋体"/>
          <w:sz w:val="43"/>
          <w:szCs w:val="43"/>
        </w:rPr>
      </w:pPr>
      <w:r>
        <w:rPr>
          <w:rFonts w:ascii="宋体" w:hAnsi="宋体" w:eastAsia="宋体" w:cs="宋体"/>
          <w:spacing w:val="8"/>
          <w:sz w:val="43"/>
          <w:szCs w:val="43"/>
          <w14:textOutline w14:w="6350" w14:cap="flat" w14:cmpd="sng">
            <w14:solidFill>
              <w14:srgbClr w14:val="000000"/>
            </w14:solidFill>
            <w14:prstDash w14:val="solid"/>
            <w14:miter w14:val="0"/>
          </w14:textOutline>
        </w:rPr>
        <w:t>2024年度全国教育科学规划项目选题指南</w:t>
      </w:r>
    </w:p>
    <w:p>
      <w:pPr>
        <w:spacing w:line="249" w:lineRule="auto"/>
        <w:rPr>
          <w:rFonts w:ascii="Arial"/>
          <w:sz w:val="21"/>
        </w:rPr>
      </w:pPr>
    </w:p>
    <w:p>
      <w:pPr>
        <w:spacing w:line="249" w:lineRule="auto"/>
        <w:rPr>
          <w:rFonts w:ascii="Arial"/>
          <w:sz w:val="21"/>
        </w:rPr>
      </w:pPr>
    </w:p>
    <w:p>
      <w:pPr>
        <w:pStyle w:val="2"/>
        <w:spacing w:before="101" w:line="334" w:lineRule="auto"/>
        <w:ind w:left="5" w:firstLine="639"/>
        <w:jc w:val="both"/>
      </w:pPr>
      <w:r>
        <w:rPr>
          <w:spacing w:val="5"/>
        </w:rPr>
        <w:t>全国教育科学规划年度项目指国家重点、一般、青年、西部</w:t>
      </w:r>
      <w:r>
        <w:t xml:space="preserve"> </w:t>
      </w:r>
      <w:r>
        <w:rPr>
          <w:spacing w:val="5"/>
        </w:rPr>
        <w:t>项目，教育部重点、青年项目。选题指南分为重点条目和重要方</w:t>
      </w:r>
      <w:r>
        <w:rPr>
          <w:spacing w:val="12"/>
        </w:rPr>
        <w:t xml:space="preserve"> </w:t>
      </w:r>
      <w:r>
        <w:rPr>
          <w:spacing w:val="5"/>
        </w:rPr>
        <w:t>向两类。申报国家重点项目必须从相应条目中选择，自拟选题不</w:t>
      </w:r>
      <w:r>
        <w:rPr>
          <w:spacing w:val="10"/>
        </w:rPr>
        <w:t xml:space="preserve"> </w:t>
      </w:r>
      <w:r>
        <w:rPr>
          <w:spacing w:val="5"/>
        </w:rPr>
        <w:t>予受理。如确有需要，可对选题进行适当微调，但不得大幅压缩</w:t>
      </w:r>
      <w:r>
        <w:rPr>
          <w:spacing w:val="10"/>
        </w:rPr>
        <w:t xml:space="preserve"> </w:t>
      </w:r>
      <w:r>
        <w:rPr>
          <w:spacing w:val="7"/>
        </w:rPr>
        <w:t>或改变研究内容。每个选题原则上只确立1个立项项目。</w:t>
      </w:r>
      <w:r>
        <w:rPr>
          <w:spacing w:val="-46"/>
        </w:rPr>
        <w:t xml:space="preserve"> </w:t>
      </w:r>
      <w:r>
        <w:rPr>
          <w:spacing w:val="7"/>
        </w:rPr>
        <w:t>申报其</w:t>
      </w:r>
    </w:p>
    <w:p>
      <w:pPr>
        <w:pStyle w:val="2"/>
        <w:spacing w:before="1" w:line="221" w:lineRule="auto"/>
      </w:pPr>
      <w:r>
        <w:rPr>
          <w:spacing w:val="8"/>
        </w:rPr>
        <w:t>他类别项目可以自拟选题。</w:t>
      </w: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100" w:line="228" w:lineRule="auto"/>
        <w:ind w:left="3795"/>
        <w:rPr>
          <w:rFonts w:ascii="黑体" w:hAnsi="黑体" w:eastAsia="黑体" w:cs="黑体"/>
          <w:sz w:val="31"/>
          <w:szCs w:val="31"/>
        </w:rPr>
      </w:pPr>
      <w:r>
        <w:rPr>
          <w:rFonts w:ascii="黑体" w:hAnsi="黑体" w:eastAsia="黑体" w:cs="黑体"/>
          <w:spacing w:val="4"/>
          <w:sz w:val="31"/>
          <w:szCs w:val="31"/>
        </w:rPr>
        <w:t>重点条目</w:t>
      </w:r>
    </w:p>
    <w:p>
      <w:pPr>
        <w:spacing w:line="241" w:lineRule="auto"/>
        <w:rPr>
          <w:rFonts w:ascii="Arial"/>
          <w:sz w:val="21"/>
        </w:rPr>
      </w:pPr>
    </w:p>
    <w:p>
      <w:pPr>
        <w:pStyle w:val="2"/>
        <w:spacing w:before="101" w:line="222" w:lineRule="auto"/>
        <w:ind w:left="683"/>
      </w:pPr>
      <w:r>
        <w:rPr>
          <w:spacing w:val="6"/>
          <w14:textOutline w14:w="5793" w14:cap="sq" w14:cmpd="sng">
            <w14:solidFill>
              <w14:srgbClr w14:val="000000"/>
            </w14:solidFill>
            <w14:prstDash w14:val="solid"/>
            <w14:bevel/>
          </w14:textOutline>
        </w:rPr>
        <w:t>中国教育学建设研究系列</w:t>
      </w:r>
    </w:p>
    <w:p>
      <w:pPr>
        <w:pStyle w:val="2"/>
        <w:spacing w:before="185" w:line="559" w:lineRule="exact"/>
        <w:ind w:left="665"/>
      </w:pPr>
      <w:r>
        <w:rPr>
          <w:spacing w:val="7"/>
          <w:position w:val="18"/>
        </w:rPr>
        <w:t>1.马克思主义教育思想理论体系研究</w:t>
      </w:r>
    </w:p>
    <w:p>
      <w:pPr>
        <w:pStyle w:val="2"/>
        <w:spacing w:before="1" w:line="220" w:lineRule="auto"/>
        <w:ind w:left="658"/>
      </w:pPr>
      <w:r>
        <w:rPr>
          <w:spacing w:val="7"/>
        </w:rPr>
        <w:t>2.新时代教育功能与属性研究</w:t>
      </w:r>
    </w:p>
    <w:p>
      <w:pPr>
        <w:pStyle w:val="2"/>
        <w:spacing w:before="191" w:line="222" w:lineRule="auto"/>
        <w:ind w:left="670"/>
      </w:pPr>
      <w:r>
        <w:rPr>
          <w:spacing w:val="6"/>
        </w:rPr>
        <w:t>3.中国教育传统的哲学阐释</w:t>
      </w:r>
    </w:p>
    <w:p>
      <w:pPr>
        <w:pStyle w:val="2"/>
        <w:spacing w:before="187" w:line="559" w:lineRule="exact"/>
        <w:ind w:left="657"/>
      </w:pPr>
      <w:r>
        <w:rPr>
          <w:spacing w:val="7"/>
          <w:position w:val="18"/>
        </w:rPr>
        <w:t>4.中国教育公平实践的理论建构研究</w:t>
      </w:r>
    </w:p>
    <w:p>
      <w:pPr>
        <w:pStyle w:val="2"/>
        <w:spacing w:before="1" w:line="222" w:lineRule="auto"/>
        <w:ind w:left="662"/>
      </w:pPr>
      <w:r>
        <w:rPr>
          <w:spacing w:val="7"/>
        </w:rPr>
        <w:t>5.中国教育普及实践的理论建构研究</w:t>
      </w:r>
    </w:p>
    <w:p>
      <w:pPr>
        <w:pStyle w:val="2"/>
        <w:spacing w:before="189" w:line="222" w:lineRule="auto"/>
        <w:ind w:left="660"/>
      </w:pPr>
      <w:r>
        <w:rPr>
          <w:spacing w:val="7"/>
        </w:rPr>
        <w:t>6.中国数字教育实践的理论建构研究</w:t>
      </w:r>
    </w:p>
    <w:p>
      <w:pPr>
        <w:pStyle w:val="2"/>
        <w:spacing w:before="186" w:line="222" w:lineRule="auto"/>
        <w:ind w:left="660"/>
      </w:pPr>
      <w:r>
        <w:rPr>
          <w:spacing w:val="7"/>
        </w:rPr>
        <w:t>7.教育学教学研究体系深层变革研究</w:t>
      </w:r>
    </w:p>
    <w:p>
      <w:pPr>
        <w:pStyle w:val="2"/>
        <w:spacing w:before="185" w:line="222" w:lineRule="auto"/>
        <w:ind w:left="660"/>
      </w:pPr>
      <w:r>
        <w:rPr>
          <w:spacing w:val="7"/>
        </w:rPr>
        <w:t>8.高校新型教育学院建设研究</w:t>
      </w:r>
    </w:p>
    <w:p>
      <w:pPr>
        <w:pStyle w:val="2"/>
        <w:spacing w:before="189" w:line="222" w:lineRule="auto"/>
        <w:ind w:left="660"/>
      </w:pPr>
      <w:r>
        <w:rPr>
          <w:spacing w:val="7"/>
        </w:rPr>
        <w:t>9.《中国教育学建设指导意见》编制研究</w:t>
      </w:r>
    </w:p>
    <w:p>
      <w:pPr>
        <w:spacing w:line="222" w:lineRule="auto"/>
        <w:sectPr>
          <w:footerReference r:id="rId7" w:type="default"/>
          <w:pgSz w:w="11906" w:h="16839"/>
          <w:pgMar w:top="400" w:right="1473" w:bottom="1176" w:left="1593" w:header="0" w:footer="1007" w:gutter="0"/>
          <w:cols w:space="720" w:num="1"/>
        </w:sectPr>
      </w:pPr>
    </w:p>
    <w:p>
      <w:pPr>
        <w:pStyle w:val="2"/>
        <w:spacing w:before="101" w:line="222" w:lineRule="auto"/>
        <w:ind w:left="473"/>
      </w:pPr>
      <w:r>
        <w:rPr>
          <w:spacing w:val="7"/>
        </w:rPr>
        <w:t>10.《中国教育学论纲》教材编写研究</w:t>
      </w:r>
    </w:p>
    <w:p>
      <w:pPr>
        <w:pStyle w:val="2"/>
        <w:spacing w:before="185" w:line="559" w:lineRule="exact"/>
        <w:ind w:left="473"/>
      </w:pPr>
      <w:r>
        <w:rPr>
          <w:spacing w:val="7"/>
          <w:position w:val="18"/>
        </w:rPr>
        <w:t>11.教育强国建设阶段性指标与评估研究</w:t>
      </w:r>
    </w:p>
    <w:p>
      <w:pPr>
        <w:pStyle w:val="2"/>
        <w:spacing w:line="222" w:lineRule="auto"/>
        <w:ind w:left="473"/>
      </w:pPr>
      <w:r>
        <w:rPr>
          <w:spacing w:val="5"/>
        </w:rPr>
        <w:t>12.0-6岁托幼一体化研究</w:t>
      </w:r>
    </w:p>
    <w:p>
      <w:pPr>
        <w:pStyle w:val="2"/>
        <w:spacing w:before="187" w:line="222" w:lineRule="auto"/>
        <w:ind w:left="473"/>
      </w:pPr>
      <w:r>
        <w:rPr>
          <w:spacing w:val="7"/>
        </w:rPr>
        <w:t>13.适应学龄人口波动的中小学一贯制办学研究</w:t>
      </w:r>
    </w:p>
    <w:p>
      <w:pPr>
        <w:pStyle w:val="2"/>
        <w:spacing w:before="187" w:line="559" w:lineRule="exact"/>
        <w:ind w:left="473"/>
      </w:pPr>
      <w:r>
        <w:rPr>
          <w:spacing w:val="7"/>
          <w:position w:val="18"/>
        </w:rPr>
        <w:t>14.国家中小学教材质量监测体系与评价机制研究</w:t>
      </w:r>
    </w:p>
    <w:p>
      <w:pPr>
        <w:pStyle w:val="2"/>
        <w:spacing w:before="2" w:line="221" w:lineRule="auto"/>
        <w:ind w:left="473"/>
      </w:pPr>
      <w:r>
        <w:rPr>
          <w:spacing w:val="7"/>
        </w:rPr>
        <w:t>15.市县结合的基础教育管理体制研究</w:t>
      </w:r>
    </w:p>
    <w:p>
      <w:pPr>
        <w:pStyle w:val="2"/>
        <w:spacing w:before="188" w:line="222" w:lineRule="auto"/>
        <w:ind w:left="473"/>
      </w:pPr>
      <w:r>
        <w:rPr>
          <w:spacing w:val="6"/>
        </w:rPr>
        <w:t>16.基础教育学制改革研究</w:t>
      </w:r>
    </w:p>
    <w:p>
      <w:pPr>
        <w:pStyle w:val="2"/>
        <w:spacing w:before="187" w:line="556" w:lineRule="exact"/>
        <w:ind w:left="473"/>
      </w:pPr>
      <w:r>
        <w:rPr>
          <w:spacing w:val="6"/>
          <w:position w:val="18"/>
        </w:rPr>
        <w:t>17.市域产教联合体建设调查研究</w:t>
      </w:r>
    </w:p>
    <w:p>
      <w:pPr>
        <w:pStyle w:val="2"/>
        <w:spacing w:before="1" w:line="224" w:lineRule="auto"/>
        <w:ind w:left="473"/>
      </w:pPr>
      <w:r>
        <w:rPr>
          <w:spacing w:val="6"/>
        </w:rPr>
        <w:t>18.全球大学生创新指数研究</w:t>
      </w:r>
    </w:p>
    <w:p>
      <w:pPr>
        <w:pStyle w:val="2"/>
        <w:spacing w:before="189" w:line="222" w:lineRule="auto"/>
        <w:ind w:left="473"/>
      </w:pPr>
      <w:r>
        <w:rPr>
          <w:spacing w:val="6"/>
        </w:rPr>
        <w:t>19.扩大优质本科教育资源研究</w:t>
      </w:r>
    </w:p>
    <w:p>
      <w:pPr>
        <w:pStyle w:val="2"/>
        <w:spacing w:before="185" w:line="222" w:lineRule="auto"/>
        <w:ind w:left="466"/>
      </w:pPr>
      <w:r>
        <w:rPr>
          <w:spacing w:val="7"/>
        </w:rPr>
        <w:t>20.博士研究生教育全球竞争力比较研究</w:t>
      </w:r>
    </w:p>
    <w:p>
      <w:pPr>
        <w:pStyle w:val="2"/>
        <w:spacing w:before="187" w:line="561" w:lineRule="exact"/>
        <w:ind w:left="466"/>
      </w:pPr>
      <w:r>
        <w:rPr>
          <w:spacing w:val="8"/>
          <w:position w:val="18"/>
        </w:rPr>
        <w:t>21.孤独症群体全生命周期培养体系构建和标准研究</w:t>
      </w:r>
    </w:p>
    <w:p>
      <w:pPr>
        <w:pStyle w:val="2"/>
        <w:spacing w:before="1" w:line="222" w:lineRule="auto"/>
        <w:ind w:left="466"/>
      </w:pPr>
      <w:r>
        <w:rPr>
          <w:spacing w:val="7"/>
        </w:rPr>
        <w:t>22.全国学生心理健康监测体系研究</w:t>
      </w:r>
    </w:p>
    <w:p>
      <w:pPr>
        <w:pStyle w:val="2"/>
        <w:spacing w:before="185" w:line="222" w:lineRule="auto"/>
        <w:ind w:left="466"/>
      </w:pPr>
      <w:r>
        <w:rPr>
          <w:spacing w:val="7"/>
        </w:rPr>
        <w:t>23.健康学校建设指标体系研究</w:t>
      </w:r>
    </w:p>
    <w:p>
      <w:pPr>
        <w:pStyle w:val="2"/>
        <w:spacing w:before="188" w:line="220" w:lineRule="auto"/>
        <w:ind w:left="466"/>
      </w:pPr>
      <w:r>
        <w:rPr>
          <w:spacing w:val="8"/>
        </w:rPr>
        <w:t>24.综合性大学毕业入职教师职业发展跟踪研究</w:t>
      </w:r>
    </w:p>
    <w:p>
      <w:pPr>
        <w:pStyle w:val="2"/>
        <w:spacing w:before="192" w:line="221" w:lineRule="auto"/>
        <w:ind w:left="466"/>
      </w:pPr>
      <w:r>
        <w:rPr>
          <w:spacing w:val="8"/>
        </w:rPr>
        <w:t>25.国家智慧教育公共服务平台应用示范标准研究</w:t>
      </w:r>
    </w:p>
    <w:p>
      <w:pPr>
        <w:spacing w:line="272" w:lineRule="auto"/>
        <w:rPr>
          <w:rFonts w:ascii="Arial"/>
          <w:sz w:val="21"/>
        </w:rPr>
      </w:pPr>
    </w:p>
    <w:p>
      <w:pPr>
        <w:spacing w:before="100" w:line="226" w:lineRule="auto"/>
        <w:ind w:left="3602"/>
        <w:rPr>
          <w:rFonts w:ascii="黑体" w:hAnsi="黑体" w:eastAsia="黑体" w:cs="黑体"/>
          <w:sz w:val="31"/>
          <w:szCs w:val="31"/>
        </w:rPr>
      </w:pPr>
      <w:r>
        <w:rPr>
          <w:rFonts w:ascii="黑体" w:hAnsi="黑体" w:eastAsia="黑体" w:cs="黑体"/>
          <w:spacing w:val="4"/>
          <w:sz w:val="31"/>
          <w:szCs w:val="31"/>
        </w:rPr>
        <w:t>重要方向</w:t>
      </w:r>
    </w:p>
    <w:p>
      <w:pPr>
        <w:spacing w:line="243" w:lineRule="auto"/>
        <w:rPr>
          <w:rFonts w:ascii="Arial"/>
          <w:sz w:val="21"/>
        </w:rPr>
      </w:pPr>
    </w:p>
    <w:p>
      <w:pPr>
        <w:pStyle w:val="2"/>
        <w:spacing w:before="102" w:line="559" w:lineRule="exact"/>
        <w:ind w:left="473"/>
      </w:pPr>
      <w:r>
        <w:rPr>
          <w:spacing w:val="6"/>
          <w:position w:val="18"/>
        </w:rPr>
        <w:t>1.教育与人口双向影响研究</w:t>
      </w:r>
    </w:p>
    <w:p>
      <w:pPr>
        <w:pStyle w:val="2"/>
        <w:spacing w:before="1" w:line="222" w:lineRule="auto"/>
        <w:ind w:left="466"/>
      </w:pPr>
      <w:r>
        <w:rPr>
          <w:spacing w:val="6"/>
        </w:rPr>
        <w:t>2.高质量教育体系研究</w:t>
      </w:r>
    </w:p>
    <w:p>
      <w:pPr>
        <w:pStyle w:val="2"/>
        <w:spacing w:before="185" w:line="223" w:lineRule="auto"/>
        <w:ind w:left="478"/>
      </w:pPr>
      <w:r>
        <w:rPr>
          <w:spacing w:val="6"/>
        </w:rPr>
        <w:t>3.拔尖创新人才一体化培养研究</w:t>
      </w:r>
    </w:p>
    <w:p>
      <w:pPr>
        <w:pStyle w:val="2"/>
        <w:spacing w:before="188" w:line="222" w:lineRule="auto"/>
        <w:ind w:left="464"/>
      </w:pPr>
      <w:r>
        <w:rPr>
          <w:spacing w:val="7"/>
        </w:rPr>
        <w:t>4.重大战略区域教育现代化研究</w:t>
      </w:r>
    </w:p>
    <w:p>
      <w:pPr>
        <w:pStyle w:val="2"/>
        <w:spacing w:before="186" w:line="222" w:lineRule="auto"/>
        <w:ind w:left="469"/>
      </w:pPr>
      <w:r>
        <w:rPr>
          <w:spacing w:val="7"/>
        </w:rPr>
        <w:t>5.教育扩大中等收入群体机制研究</w:t>
      </w:r>
    </w:p>
    <w:p>
      <w:pPr>
        <w:spacing w:line="222" w:lineRule="auto"/>
        <w:sectPr>
          <w:footerReference r:id="rId8" w:type="default"/>
          <w:pgSz w:w="11906" w:h="16839"/>
          <w:pgMar w:top="400" w:right="1785" w:bottom="1176" w:left="1785" w:header="0" w:footer="1006" w:gutter="0"/>
          <w:cols w:space="720" w:num="1"/>
        </w:sectPr>
      </w:pPr>
    </w:p>
    <w:p>
      <w:pPr>
        <w:pStyle w:val="2"/>
        <w:spacing w:before="100" w:line="559" w:lineRule="exact"/>
        <w:ind w:left="468"/>
      </w:pPr>
      <w:r>
        <w:rPr>
          <w:spacing w:val="7"/>
          <w:position w:val="18"/>
        </w:rPr>
        <w:t>6.教育对经济社会发展贡献研究</w:t>
      </w:r>
    </w:p>
    <w:p>
      <w:pPr>
        <w:pStyle w:val="2"/>
        <w:spacing w:line="222" w:lineRule="auto"/>
        <w:ind w:left="468"/>
      </w:pPr>
      <w:r>
        <w:rPr>
          <w:spacing w:val="7"/>
        </w:rPr>
        <w:t>7.区域整体发展素质教育研究</w:t>
      </w:r>
    </w:p>
    <w:p>
      <w:pPr>
        <w:pStyle w:val="2"/>
        <w:spacing w:before="185" w:line="562" w:lineRule="exact"/>
        <w:ind w:left="468"/>
      </w:pPr>
      <w:r>
        <w:rPr>
          <w:spacing w:val="7"/>
          <w:position w:val="18"/>
        </w:rPr>
        <w:t>8.港澳教育融入教育强国建设研究</w:t>
      </w:r>
    </w:p>
    <w:p>
      <w:pPr>
        <w:pStyle w:val="2"/>
        <w:spacing w:line="222" w:lineRule="auto"/>
        <w:ind w:left="468"/>
      </w:pPr>
      <w:r>
        <w:rPr>
          <w:spacing w:val="7"/>
        </w:rPr>
        <w:t>9.人口变动下教育标准调整研究</w:t>
      </w:r>
    </w:p>
    <w:p>
      <w:pPr>
        <w:pStyle w:val="2"/>
        <w:spacing w:before="187" w:line="222" w:lineRule="auto"/>
        <w:ind w:left="473"/>
      </w:pPr>
      <w:r>
        <w:rPr>
          <w:spacing w:val="5"/>
        </w:rPr>
        <w:t>10.教育法典编纂研究</w:t>
      </w:r>
    </w:p>
    <w:p>
      <w:pPr>
        <w:pStyle w:val="2"/>
        <w:spacing w:before="185" w:line="222" w:lineRule="auto"/>
        <w:ind w:left="473"/>
      </w:pPr>
      <w:r>
        <w:rPr>
          <w:spacing w:val="6"/>
        </w:rPr>
        <w:t>11.基于文化自信的教育自信研究</w:t>
      </w:r>
    </w:p>
    <w:p>
      <w:pPr>
        <w:pStyle w:val="2"/>
        <w:spacing w:before="190" w:line="222" w:lineRule="auto"/>
        <w:ind w:left="473"/>
      </w:pPr>
      <w:r>
        <w:rPr>
          <w:spacing w:val="7"/>
        </w:rPr>
        <w:t>12.新时代教育实践经验理论建构研究</w:t>
      </w:r>
    </w:p>
    <w:p>
      <w:pPr>
        <w:pStyle w:val="2"/>
        <w:spacing w:before="186" w:line="559" w:lineRule="exact"/>
        <w:ind w:left="473"/>
      </w:pPr>
      <w:r>
        <w:rPr>
          <w:spacing w:val="7"/>
          <w:position w:val="18"/>
        </w:rPr>
        <w:t>13.新中国成立75周年教育的进步观研究</w:t>
      </w:r>
    </w:p>
    <w:p>
      <w:pPr>
        <w:pStyle w:val="2"/>
        <w:spacing w:before="1" w:line="222" w:lineRule="auto"/>
        <w:ind w:left="473"/>
      </w:pPr>
      <w:r>
        <w:rPr>
          <w:spacing w:val="6"/>
        </w:rPr>
        <w:t>14.社会的教育观念史研究</w:t>
      </w:r>
    </w:p>
    <w:p>
      <w:pPr>
        <w:pStyle w:val="2"/>
        <w:spacing w:before="188" w:line="221" w:lineRule="auto"/>
        <w:ind w:right="54"/>
        <w:jc w:val="right"/>
      </w:pPr>
      <w:r>
        <w:rPr>
          <w:spacing w:val="8"/>
        </w:rPr>
        <w:t>15.人工智能时代核心素养导向的基础教育课程改革研究</w:t>
      </w:r>
    </w:p>
    <w:p>
      <w:pPr>
        <w:pStyle w:val="2"/>
        <w:spacing w:before="188" w:line="559" w:lineRule="exact"/>
        <w:ind w:left="473"/>
      </w:pPr>
      <w:r>
        <w:rPr>
          <w:spacing w:val="2"/>
          <w:position w:val="18"/>
        </w:rPr>
        <w:t>16.</w:t>
      </w:r>
      <w:r>
        <w:rPr>
          <w:spacing w:val="-106"/>
          <w:position w:val="18"/>
        </w:rPr>
        <w:t xml:space="preserve"> </w:t>
      </w:r>
      <w:r>
        <w:rPr>
          <w:spacing w:val="2"/>
          <w:position w:val="18"/>
        </w:rPr>
        <w:t>“</w:t>
      </w:r>
      <w:r>
        <w:rPr>
          <w:spacing w:val="-119"/>
          <w:position w:val="18"/>
        </w:rPr>
        <w:t xml:space="preserve"> </w:t>
      </w:r>
      <w:r>
        <w:rPr>
          <w:spacing w:val="2"/>
          <w:position w:val="18"/>
        </w:rPr>
        <w:t>三科”教材使用情况调查研究</w:t>
      </w:r>
    </w:p>
    <w:p>
      <w:pPr>
        <w:pStyle w:val="2"/>
        <w:spacing w:line="223" w:lineRule="auto"/>
        <w:ind w:left="473"/>
      </w:pPr>
      <w:r>
        <w:rPr>
          <w:spacing w:val="4"/>
        </w:rPr>
        <w:t>17.数字教材研究</w:t>
      </w:r>
    </w:p>
    <w:p>
      <w:pPr>
        <w:pStyle w:val="2"/>
        <w:spacing w:before="187" w:line="222" w:lineRule="auto"/>
        <w:ind w:left="473"/>
      </w:pPr>
      <w:r>
        <w:rPr>
          <w:spacing w:val="6"/>
        </w:rPr>
        <w:t>18.苏区红色教材收集整理研究</w:t>
      </w:r>
    </w:p>
    <w:p>
      <w:pPr>
        <w:pStyle w:val="2"/>
        <w:spacing w:before="187" w:line="559" w:lineRule="exact"/>
        <w:ind w:left="473"/>
      </w:pPr>
      <w:r>
        <w:rPr>
          <w:spacing w:val="5"/>
          <w:position w:val="18"/>
        </w:rPr>
        <w:t>19.学龄人口变动背景下</w:t>
      </w:r>
      <w:r>
        <w:rPr>
          <w:spacing w:val="-99"/>
          <w:position w:val="18"/>
        </w:rPr>
        <w:t xml:space="preserve"> </w:t>
      </w:r>
      <w:r>
        <w:rPr>
          <w:spacing w:val="5"/>
          <w:position w:val="18"/>
        </w:rPr>
        <w:t>“小班化”教学研究</w:t>
      </w:r>
    </w:p>
    <w:p>
      <w:pPr>
        <w:pStyle w:val="2"/>
        <w:spacing w:line="220" w:lineRule="auto"/>
        <w:ind w:left="466"/>
      </w:pPr>
      <w:r>
        <w:rPr>
          <w:spacing w:val="7"/>
        </w:rPr>
        <w:t>20.学区化集团化办学评估研究</w:t>
      </w:r>
    </w:p>
    <w:p>
      <w:pPr>
        <w:pStyle w:val="2"/>
        <w:spacing w:before="192" w:line="559" w:lineRule="exact"/>
        <w:ind w:left="466"/>
      </w:pPr>
      <w:r>
        <w:rPr>
          <w:spacing w:val="8"/>
          <w:position w:val="18"/>
        </w:rPr>
        <w:t>21.多子女同校就读（长幼随学）实践调查研究</w:t>
      </w:r>
    </w:p>
    <w:p>
      <w:pPr>
        <w:pStyle w:val="2"/>
        <w:spacing w:line="221" w:lineRule="auto"/>
        <w:ind w:left="466"/>
      </w:pPr>
      <w:r>
        <w:rPr>
          <w:spacing w:val="7"/>
        </w:rPr>
        <w:t>22.普通高中学生素质素养监测研究</w:t>
      </w:r>
    </w:p>
    <w:p>
      <w:pPr>
        <w:pStyle w:val="2"/>
        <w:spacing w:before="188" w:line="562" w:lineRule="exact"/>
        <w:ind w:left="466"/>
      </w:pPr>
      <w:r>
        <w:rPr>
          <w:spacing w:val="7"/>
          <w:position w:val="18"/>
        </w:rPr>
        <w:t>23.数字化时代中小学科学教育新特征研究</w:t>
      </w:r>
    </w:p>
    <w:p>
      <w:pPr>
        <w:pStyle w:val="2"/>
        <w:spacing w:line="221" w:lineRule="auto"/>
        <w:ind w:left="466"/>
      </w:pPr>
      <w:r>
        <w:rPr>
          <w:spacing w:val="7"/>
        </w:rPr>
        <w:t>24.中小学生科学素养评价研究</w:t>
      </w:r>
    </w:p>
    <w:p>
      <w:pPr>
        <w:pStyle w:val="2"/>
        <w:spacing w:before="188" w:line="222" w:lineRule="auto"/>
        <w:ind w:left="466"/>
      </w:pPr>
      <w:r>
        <w:rPr>
          <w:spacing w:val="6"/>
        </w:rPr>
        <w:t>25.学校体育改革路径研究</w:t>
      </w:r>
    </w:p>
    <w:p>
      <w:pPr>
        <w:pStyle w:val="2"/>
        <w:spacing w:before="186" w:line="222" w:lineRule="auto"/>
        <w:ind w:left="466"/>
      </w:pPr>
      <w:r>
        <w:rPr>
          <w:spacing w:val="7"/>
        </w:rPr>
        <w:t>26.学校美育评价体系建设研究</w:t>
      </w:r>
    </w:p>
    <w:p>
      <w:pPr>
        <w:pStyle w:val="2"/>
        <w:spacing w:before="189" w:line="222" w:lineRule="auto"/>
        <w:ind w:left="466"/>
      </w:pPr>
      <w:r>
        <w:rPr>
          <w:spacing w:val="7"/>
        </w:rPr>
        <w:t>27.劳动教育内容与实施国际比较研究</w:t>
      </w:r>
    </w:p>
    <w:p>
      <w:pPr>
        <w:spacing w:line="222" w:lineRule="auto"/>
        <w:sectPr>
          <w:footerReference r:id="rId9" w:type="default"/>
          <w:pgSz w:w="11906" w:h="16839"/>
          <w:pgMar w:top="400" w:right="1785" w:bottom="1176" w:left="1785" w:header="0" w:footer="1006" w:gutter="0"/>
          <w:cols w:space="720" w:num="1"/>
        </w:sectPr>
      </w:pPr>
    </w:p>
    <w:p>
      <w:pPr>
        <w:pStyle w:val="2"/>
        <w:spacing w:before="101" w:line="222" w:lineRule="auto"/>
        <w:ind w:left="466"/>
      </w:pPr>
      <w:r>
        <w:rPr>
          <w:spacing w:val="7"/>
        </w:rPr>
        <w:t>28.新时代教研体系建设研究</w:t>
      </w:r>
    </w:p>
    <w:p>
      <w:pPr>
        <w:pStyle w:val="2"/>
        <w:spacing w:before="185" w:line="559" w:lineRule="exact"/>
        <w:ind w:right="54"/>
        <w:jc w:val="right"/>
      </w:pPr>
      <w:r>
        <w:rPr>
          <w:spacing w:val="8"/>
          <w:position w:val="18"/>
        </w:rPr>
        <w:t>29.新型工业化背景下行业产教融合共同体推进路径研究</w:t>
      </w:r>
    </w:p>
    <w:p>
      <w:pPr>
        <w:pStyle w:val="2"/>
        <w:spacing w:before="1" w:line="218" w:lineRule="auto"/>
        <w:ind w:left="478"/>
      </w:pPr>
      <w:r>
        <w:rPr>
          <w:spacing w:val="6"/>
        </w:rPr>
        <w:t>30.职业教育数字化转型升级研究</w:t>
      </w:r>
    </w:p>
    <w:p>
      <w:pPr>
        <w:pStyle w:val="2"/>
        <w:spacing w:before="194" w:line="220" w:lineRule="auto"/>
        <w:ind w:left="478"/>
      </w:pPr>
      <w:r>
        <w:rPr>
          <w:spacing w:val="6"/>
        </w:rPr>
        <w:t>31.面向2035年高等教育布局结构研究</w:t>
      </w:r>
    </w:p>
    <w:p>
      <w:pPr>
        <w:pStyle w:val="2"/>
        <w:spacing w:before="189" w:line="559" w:lineRule="exact"/>
        <w:ind w:left="478"/>
      </w:pPr>
      <w:r>
        <w:rPr>
          <w:spacing w:val="7"/>
          <w:position w:val="18"/>
        </w:rPr>
        <w:t>32.部省合建高校振兴中西部高等教育研究</w:t>
      </w:r>
    </w:p>
    <w:p>
      <w:pPr>
        <w:pStyle w:val="2"/>
        <w:spacing w:before="2" w:line="221" w:lineRule="auto"/>
        <w:ind w:left="478"/>
      </w:pPr>
      <w:r>
        <w:rPr>
          <w:spacing w:val="7"/>
        </w:rPr>
        <w:t>33.地方高校服务区域高质量发展研究</w:t>
      </w:r>
    </w:p>
    <w:p>
      <w:pPr>
        <w:pStyle w:val="2"/>
        <w:spacing w:before="190" w:line="222" w:lineRule="auto"/>
        <w:ind w:left="478"/>
      </w:pPr>
      <w:r>
        <w:rPr>
          <w:spacing w:val="5"/>
        </w:rPr>
        <w:t>34.新型研究型大学研究</w:t>
      </w:r>
    </w:p>
    <w:p>
      <w:pPr>
        <w:pStyle w:val="2"/>
        <w:spacing w:before="185" w:line="560" w:lineRule="exact"/>
        <w:ind w:left="478"/>
      </w:pPr>
      <w:r>
        <w:rPr>
          <w:spacing w:val="4"/>
          <w:position w:val="18"/>
        </w:rPr>
        <w:t>35.第二轮</w:t>
      </w:r>
      <w:r>
        <w:rPr>
          <w:spacing w:val="-96"/>
          <w:position w:val="18"/>
        </w:rPr>
        <w:t xml:space="preserve"> </w:t>
      </w:r>
      <w:r>
        <w:rPr>
          <w:spacing w:val="4"/>
          <w:position w:val="18"/>
        </w:rPr>
        <w:t>“双一流”建设绩效评价研究</w:t>
      </w:r>
    </w:p>
    <w:p>
      <w:pPr>
        <w:pStyle w:val="2"/>
        <w:spacing w:before="1" w:line="221" w:lineRule="auto"/>
        <w:ind w:left="478"/>
      </w:pPr>
      <w:r>
        <w:rPr>
          <w:spacing w:val="6"/>
        </w:rPr>
        <w:t>36.大学生学术思维能力培育研究</w:t>
      </w:r>
    </w:p>
    <w:p>
      <w:pPr>
        <w:pStyle w:val="2"/>
        <w:spacing w:before="189" w:line="222" w:lineRule="auto"/>
        <w:ind w:left="478"/>
      </w:pPr>
      <w:r>
        <w:rPr>
          <w:spacing w:val="7"/>
        </w:rPr>
        <w:t>37.高校战略紧缺和新兴交叉学科建设研究</w:t>
      </w:r>
    </w:p>
    <w:p>
      <w:pPr>
        <w:pStyle w:val="2"/>
        <w:spacing w:before="186" w:line="560" w:lineRule="exact"/>
        <w:ind w:left="478"/>
      </w:pPr>
      <w:r>
        <w:rPr>
          <w:spacing w:val="7"/>
          <w:position w:val="18"/>
        </w:rPr>
        <w:t>38.高校提高人才自主培养质量的课程体系建设研究</w:t>
      </w:r>
    </w:p>
    <w:p>
      <w:pPr>
        <w:pStyle w:val="2"/>
        <w:spacing w:line="221" w:lineRule="auto"/>
        <w:ind w:left="478"/>
      </w:pPr>
      <w:r>
        <w:rPr>
          <w:spacing w:val="5"/>
        </w:rPr>
        <w:t>39.涉外法治人才培养研究</w:t>
      </w:r>
    </w:p>
    <w:p>
      <w:pPr>
        <w:pStyle w:val="2"/>
        <w:spacing w:before="190" w:line="221" w:lineRule="auto"/>
        <w:ind w:left="464"/>
      </w:pPr>
      <w:r>
        <w:rPr>
          <w:spacing w:val="7"/>
        </w:rPr>
        <w:t>40.公费师范生本研衔接培养研究</w:t>
      </w:r>
    </w:p>
    <w:p>
      <w:pPr>
        <w:pStyle w:val="2"/>
        <w:spacing w:before="188" w:line="222" w:lineRule="auto"/>
        <w:ind w:left="464"/>
      </w:pPr>
      <w:r>
        <w:rPr>
          <w:spacing w:val="7"/>
        </w:rPr>
        <w:t>41.师范院校核心办学指标监测研究</w:t>
      </w:r>
    </w:p>
    <w:p>
      <w:pPr>
        <w:pStyle w:val="2"/>
        <w:spacing w:before="187" w:line="561" w:lineRule="exact"/>
        <w:ind w:left="464"/>
      </w:pPr>
      <w:r>
        <w:rPr>
          <w:spacing w:val="7"/>
          <w:position w:val="18"/>
        </w:rPr>
        <w:t>42.专业学位研究生培养质量监测研究</w:t>
      </w:r>
    </w:p>
    <w:p>
      <w:pPr>
        <w:pStyle w:val="2"/>
        <w:spacing w:line="221" w:lineRule="auto"/>
        <w:ind w:left="464"/>
      </w:pPr>
      <w:r>
        <w:rPr>
          <w:spacing w:val="7"/>
        </w:rPr>
        <w:t>43.工程硕博士培养模式改革研究</w:t>
      </w:r>
    </w:p>
    <w:p>
      <w:pPr>
        <w:pStyle w:val="2"/>
        <w:spacing w:before="188" w:line="560" w:lineRule="exact"/>
        <w:ind w:left="464"/>
      </w:pPr>
      <w:r>
        <w:rPr>
          <w:spacing w:val="8"/>
          <w:position w:val="18"/>
        </w:rPr>
        <w:t>44.大中小学铸牢中华民族共同体意识教育一体化研究</w:t>
      </w:r>
    </w:p>
    <w:p>
      <w:pPr>
        <w:pStyle w:val="2"/>
        <w:spacing w:line="222" w:lineRule="auto"/>
        <w:ind w:left="464"/>
      </w:pPr>
      <w:r>
        <w:rPr>
          <w:spacing w:val="6"/>
        </w:rPr>
        <w:t>45.民族教育理论重构研究</w:t>
      </w:r>
    </w:p>
    <w:p>
      <w:pPr>
        <w:pStyle w:val="2"/>
        <w:spacing w:before="189" w:line="222" w:lineRule="auto"/>
        <w:ind w:left="464"/>
      </w:pPr>
      <w:r>
        <w:rPr>
          <w:spacing w:val="7"/>
        </w:rPr>
        <w:t>46.民族地区教育事业发展调查研究</w:t>
      </w:r>
    </w:p>
    <w:p>
      <w:pPr>
        <w:pStyle w:val="2"/>
        <w:spacing w:before="186" w:line="559" w:lineRule="exact"/>
        <w:ind w:left="464"/>
      </w:pPr>
      <w:r>
        <w:rPr>
          <w:spacing w:val="8"/>
          <w:position w:val="18"/>
        </w:rPr>
        <w:t>47.面向民族地区普通话推广的语言学习研究</w:t>
      </w:r>
    </w:p>
    <w:p>
      <w:pPr>
        <w:pStyle w:val="2"/>
        <w:spacing w:before="1" w:line="222" w:lineRule="auto"/>
        <w:ind w:left="464"/>
      </w:pPr>
      <w:r>
        <w:rPr>
          <w:spacing w:val="7"/>
        </w:rPr>
        <w:t>48.总体国家安全视域下边境教育发展研究</w:t>
      </w:r>
    </w:p>
    <w:p>
      <w:pPr>
        <w:pStyle w:val="2"/>
        <w:spacing w:before="188" w:line="222" w:lineRule="auto"/>
        <w:ind w:left="464"/>
      </w:pPr>
      <w:r>
        <w:rPr>
          <w:spacing w:val="7"/>
        </w:rPr>
        <w:t>49.当代中国教育家群像研究</w:t>
      </w:r>
    </w:p>
    <w:p>
      <w:pPr>
        <w:spacing w:line="222" w:lineRule="auto"/>
        <w:sectPr>
          <w:footerReference r:id="rId10" w:type="default"/>
          <w:pgSz w:w="11906" w:h="16839"/>
          <w:pgMar w:top="400" w:right="1785" w:bottom="1176" w:left="1785" w:header="0" w:footer="1006" w:gutter="0"/>
          <w:cols w:space="720" w:num="1"/>
        </w:sectPr>
      </w:pPr>
    </w:p>
    <w:p>
      <w:pPr>
        <w:pStyle w:val="2"/>
        <w:spacing w:before="101" w:line="222" w:lineRule="auto"/>
        <w:ind w:left="469"/>
      </w:pPr>
      <w:r>
        <w:rPr>
          <w:spacing w:val="7"/>
        </w:rPr>
        <w:t>50.教育家精神课程教材资源开发研究</w:t>
      </w:r>
    </w:p>
    <w:p>
      <w:pPr>
        <w:pStyle w:val="2"/>
        <w:spacing w:before="186" w:line="560" w:lineRule="exact"/>
        <w:ind w:left="469"/>
      </w:pPr>
      <w:r>
        <w:rPr>
          <w:spacing w:val="5"/>
          <w:position w:val="18"/>
        </w:rPr>
        <w:t>51.教师节40年叙事研究</w:t>
      </w:r>
    </w:p>
    <w:p>
      <w:pPr>
        <w:pStyle w:val="2"/>
        <w:spacing w:line="222" w:lineRule="auto"/>
        <w:ind w:left="469"/>
      </w:pPr>
      <w:r>
        <w:rPr>
          <w:spacing w:val="5"/>
        </w:rPr>
        <w:t>52.人机复合教师研究</w:t>
      </w:r>
    </w:p>
    <w:p>
      <w:pPr>
        <w:pStyle w:val="2"/>
        <w:spacing w:before="188" w:line="220" w:lineRule="auto"/>
        <w:ind w:left="469"/>
      </w:pPr>
      <w:r>
        <w:rPr>
          <w:spacing w:val="6"/>
        </w:rPr>
        <w:t>53.Z世代班主任辅导员工作研究</w:t>
      </w:r>
    </w:p>
    <w:p>
      <w:pPr>
        <w:pStyle w:val="2"/>
        <w:spacing w:before="189" w:line="559" w:lineRule="exact"/>
        <w:ind w:left="469"/>
      </w:pPr>
      <w:r>
        <w:rPr>
          <w:spacing w:val="7"/>
          <w:position w:val="18"/>
        </w:rPr>
        <w:t>54.中小学教师非教育教学负担治理研究</w:t>
      </w:r>
    </w:p>
    <w:p>
      <w:pPr>
        <w:pStyle w:val="2"/>
        <w:spacing w:before="1" w:line="222" w:lineRule="auto"/>
        <w:ind w:left="469"/>
      </w:pPr>
      <w:r>
        <w:rPr>
          <w:spacing w:val="7"/>
        </w:rPr>
        <w:t>55.心理健康教师专业标准研究</w:t>
      </w:r>
    </w:p>
    <w:p>
      <w:pPr>
        <w:pStyle w:val="2"/>
        <w:spacing w:before="187" w:line="222" w:lineRule="auto"/>
        <w:ind w:left="469"/>
      </w:pPr>
      <w:r>
        <w:rPr>
          <w:spacing w:val="7"/>
        </w:rPr>
        <w:t>56.高校文科师资队伍现状调查研究</w:t>
      </w:r>
    </w:p>
    <w:p>
      <w:pPr>
        <w:pStyle w:val="2"/>
        <w:spacing w:before="187" w:line="559" w:lineRule="exact"/>
        <w:ind w:left="469"/>
      </w:pPr>
      <w:r>
        <w:rPr>
          <w:spacing w:val="7"/>
          <w:position w:val="18"/>
        </w:rPr>
        <w:t>57.高校思政课教师教育能力评价研究</w:t>
      </w:r>
    </w:p>
    <w:p>
      <w:pPr>
        <w:pStyle w:val="2"/>
        <w:spacing w:before="1" w:line="222" w:lineRule="auto"/>
        <w:ind w:left="469"/>
      </w:pPr>
      <w:r>
        <w:rPr>
          <w:spacing w:val="6"/>
        </w:rPr>
        <w:t>58.教育收费政策体系研究</w:t>
      </w:r>
    </w:p>
    <w:p>
      <w:pPr>
        <w:pStyle w:val="2"/>
        <w:spacing w:before="188" w:line="222" w:lineRule="auto"/>
        <w:ind w:left="469"/>
      </w:pPr>
      <w:r>
        <w:rPr>
          <w:spacing w:val="7"/>
        </w:rPr>
        <w:t>59.学校、社会、数字三维教育空间融合研究</w:t>
      </w:r>
    </w:p>
    <w:p>
      <w:pPr>
        <w:pStyle w:val="2"/>
        <w:spacing w:before="187" w:line="222" w:lineRule="auto"/>
        <w:ind w:left="468"/>
      </w:pPr>
      <w:r>
        <w:rPr>
          <w:spacing w:val="6"/>
        </w:rPr>
        <w:t>60.脑科学的教育应用研究</w:t>
      </w:r>
    </w:p>
    <w:p>
      <w:pPr>
        <w:pStyle w:val="2"/>
        <w:spacing w:before="186" w:line="561" w:lineRule="exact"/>
        <w:ind w:left="468"/>
      </w:pPr>
      <w:r>
        <w:rPr>
          <w:spacing w:val="6"/>
          <w:position w:val="18"/>
        </w:rPr>
        <w:t>61.大语言模型教育应用研究</w:t>
      </w:r>
    </w:p>
    <w:p>
      <w:pPr>
        <w:pStyle w:val="2"/>
        <w:spacing w:before="1" w:line="221" w:lineRule="auto"/>
        <w:ind w:left="468"/>
      </w:pPr>
      <w:r>
        <w:rPr>
          <w:spacing w:val="6"/>
        </w:rPr>
        <w:t>62.数字人文人才培养研究</w:t>
      </w:r>
    </w:p>
    <w:p>
      <w:pPr>
        <w:pStyle w:val="2"/>
        <w:spacing w:before="187" w:line="222" w:lineRule="auto"/>
        <w:ind w:left="468"/>
      </w:pPr>
      <w:r>
        <w:rPr>
          <w:spacing w:val="7"/>
        </w:rPr>
        <w:t>63.中小学人工智能伦理教育研究</w:t>
      </w:r>
    </w:p>
    <w:p>
      <w:pPr>
        <w:pStyle w:val="2"/>
        <w:spacing w:before="187" w:line="562" w:lineRule="exact"/>
        <w:ind w:left="468"/>
      </w:pPr>
      <w:r>
        <w:rPr>
          <w:spacing w:val="7"/>
          <w:position w:val="18"/>
        </w:rPr>
        <w:t>64.大学生学习过程数字化建模与评估研究</w:t>
      </w:r>
    </w:p>
    <w:p>
      <w:pPr>
        <w:pStyle w:val="2"/>
        <w:spacing w:line="220" w:lineRule="auto"/>
        <w:ind w:left="468"/>
      </w:pPr>
      <w:r>
        <w:rPr>
          <w:spacing w:val="7"/>
        </w:rPr>
        <w:t>65.数智赋能高校评估新范式研究</w:t>
      </w:r>
    </w:p>
    <w:p>
      <w:pPr>
        <w:pStyle w:val="2"/>
        <w:spacing w:before="190" w:line="223" w:lineRule="auto"/>
        <w:ind w:left="468"/>
      </w:pPr>
      <w:r>
        <w:rPr>
          <w:spacing w:val="7"/>
        </w:rPr>
        <w:t>66.基于数字基座的学习型社会建设研究</w:t>
      </w:r>
    </w:p>
    <w:p>
      <w:pPr>
        <w:pStyle w:val="2"/>
        <w:spacing w:before="181" w:line="221" w:lineRule="auto"/>
        <w:ind w:left="468"/>
      </w:pPr>
      <w:r>
        <w:rPr>
          <w:spacing w:val="8"/>
        </w:rPr>
        <w:t>67.教育数字化转型中学习科学理论创新</w:t>
      </w:r>
      <w:r>
        <w:rPr>
          <w:spacing w:val="7"/>
        </w:rPr>
        <w:t>研究</w:t>
      </w:r>
    </w:p>
    <w:p>
      <w:pPr>
        <w:pStyle w:val="2"/>
        <w:spacing w:before="194" w:line="559" w:lineRule="exact"/>
        <w:ind w:left="468"/>
      </w:pPr>
      <w:r>
        <w:rPr>
          <w:spacing w:val="8"/>
          <w:position w:val="18"/>
        </w:rPr>
        <w:t>68.数字教育中的意识形态安全风险及应对研究</w:t>
      </w:r>
    </w:p>
    <w:p>
      <w:pPr>
        <w:pStyle w:val="2"/>
        <w:spacing w:before="1" w:line="222" w:lineRule="auto"/>
        <w:ind w:left="468"/>
      </w:pPr>
      <w:r>
        <w:rPr>
          <w:spacing w:val="5"/>
        </w:rPr>
        <w:t>69.数字教育立法研究</w:t>
      </w:r>
    </w:p>
    <w:p>
      <w:pPr>
        <w:pStyle w:val="2"/>
        <w:spacing w:before="185" w:line="562" w:lineRule="exact"/>
        <w:ind w:left="468"/>
      </w:pPr>
      <w:r>
        <w:rPr>
          <w:spacing w:val="7"/>
          <w:position w:val="18"/>
        </w:rPr>
        <w:t>70.国际中文教育专业建设研究</w:t>
      </w:r>
    </w:p>
    <w:p>
      <w:pPr>
        <w:pStyle w:val="2"/>
        <w:spacing w:before="1" w:line="222" w:lineRule="auto"/>
        <w:ind w:left="468"/>
      </w:pPr>
      <w:r>
        <w:rPr>
          <w:spacing w:val="6"/>
        </w:rPr>
        <w:t>71.语言国情国力调查研究</w:t>
      </w:r>
    </w:p>
    <w:p>
      <w:pPr>
        <w:spacing w:line="222" w:lineRule="auto"/>
        <w:sectPr>
          <w:footerReference r:id="rId11" w:type="default"/>
          <w:pgSz w:w="11906" w:h="16839"/>
          <w:pgMar w:top="400" w:right="1785" w:bottom="1176" w:left="1785" w:header="0" w:footer="1006" w:gutter="0"/>
          <w:cols w:space="720" w:num="1"/>
        </w:sectPr>
      </w:pPr>
    </w:p>
    <w:p>
      <w:pPr>
        <w:pStyle w:val="2"/>
        <w:spacing w:before="101" w:line="222" w:lineRule="auto"/>
        <w:ind w:left="468"/>
      </w:pPr>
      <w:r>
        <w:rPr>
          <w:spacing w:val="6"/>
        </w:rPr>
        <w:t>72.教育制度型开放研究</w:t>
      </w:r>
    </w:p>
    <w:p>
      <w:pPr>
        <w:pStyle w:val="2"/>
        <w:spacing w:before="187" w:line="222" w:lineRule="auto"/>
        <w:ind w:left="468"/>
      </w:pPr>
      <w:r>
        <w:rPr>
          <w:spacing w:val="7"/>
        </w:rPr>
        <w:t>73.世界主要国家外语教育政策研究</w:t>
      </w:r>
    </w:p>
    <w:p>
      <w:pPr>
        <w:pStyle w:val="2"/>
        <w:spacing w:before="185" w:line="562" w:lineRule="exact"/>
        <w:ind w:left="468"/>
      </w:pPr>
      <w:r>
        <w:rPr>
          <w:spacing w:val="7"/>
          <w:position w:val="18"/>
        </w:rPr>
        <w:t>74.一带一路国家教育合作研究</w:t>
      </w:r>
    </w:p>
    <w:p>
      <w:pPr>
        <w:pStyle w:val="2"/>
        <w:spacing w:before="1" w:line="221" w:lineRule="auto"/>
        <w:ind w:left="468"/>
      </w:pPr>
      <w:r>
        <w:rPr>
          <w:spacing w:val="7"/>
        </w:rPr>
        <w:t>75.国际教育援助实施机制研究</w:t>
      </w:r>
    </w:p>
    <w:p>
      <w:pPr>
        <w:pStyle w:val="2"/>
        <w:spacing w:before="186" w:line="222" w:lineRule="auto"/>
        <w:ind w:left="468"/>
      </w:pPr>
      <w:r>
        <w:rPr>
          <w:spacing w:val="6"/>
        </w:rPr>
        <w:t>76.中国高校境外办学研究</w:t>
      </w:r>
    </w:p>
    <w:p>
      <w:pPr>
        <w:pStyle w:val="2"/>
        <w:spacing w:before="186" w:line="562" w:lineRule="exact"/>
        <w:ind w:left="468"/>
      </w:pPr>
      <w:r>
        <w:rPr>
          <w:spacing w:val="7"/>
          <w:position w:val="18"/>
        </w:rPr>
        <w:t>77.来华留学本科教育评价标准研究</w:t>
      </w:r>
    </w:p>
    <w:p>
      <w:pPr>
        <w:pStyle w:val="2"/>
        <w:spacing w:before="1" w:line="221" w:lineRule="auto"/>
        <w:ind w:left="468"/>
      </w:pPr>
      <w:r>
        <w:rPr>
          <w:spacing w:val="6"/>
        </w:rPr>
        <w:t>78.俄罗斯教育改革研究</w:t>
      </w:r>
    </w:p>
    <w:p>
      <w:pPr>
        <w:pStyle w:val="2"/>
        <w:spacing w:before="188" w:line="222" w:lineRule="auto"/>
        <w:ind w:left="468"/>
      </w:pPr>
      <w:r>
        <w:rPr>
          <w:spacing w:val="8"/>
        </w:rPr>
        <w:t>79.联合国教科文组织</w:t>
      </w:r>
      <w:r>
        <w:t>STEM</w:t>
      </w:r>
      <w:r>
        <w:rPr>
          <w:spacing w:val="8"/>
        </w:rPr>
        <w:t>一类中心建设研究</w:t>
      </w:r>
    </w:p>
    <w:p>
      <w:pPr>
        <w:pStyle w:val="2"/>
        <w:spacing w:before="166" w:line="624" w:lineRule="exact"/>
        <w:ind w:right="54"/>
        <w:jc w:val="right"/>
      </w:pPr>
      <w:r>
        <w:rPr>
          <w:spacing w:val="8"/>
          <w:position w:val="23"/>
        </w:rPr>
        <w:t>80.联合国2030年可持续发展议程教育目标（</w:t>
      </w:r>
      <w:r>
        <w:rPr>
          <w:position w:val="23"/>
        </w:rPr>
        <w:t>SDG</w:t>
      </w:r>
      <w:r>
        <w:rPr>
          <w:spacing w:val="8"/>
          <w:position w:val="23"/>
        </w:rPr>
        <w:t>4）中国</w:t>
      </w:r>
    </w:p>
    <w:p>
      <w:pPr>
        <w:pStyle w:val="2"/>
        <w:spacing w:before="1" w:line="223" w:lineRule="auto"/>
        <w:ind w:left="772"/>
      </w:pPr>
      <w:r>
        <w:rPr>
          <w:spacing w:val="7"/>
        </w:rPr>
        <w:t>进展监测研究</w:t>
      </w:r>
    </w:p>
    <w:p>
      <w:pPr>
        <w:pStyle w:val="2"/>
        <w:spacing w:before="268" w:line="562" w:lineRule="exact"/>
        <w:ind w:left="468"/>
      </w:pPr>
      <w:r>
        <w:rPr>
          <w:spacing w:val="7"/>
          <w:position w:val="18"/>
        </w:rPr>
        <w:t>81.新中国成立75周年学生资助档案文献整理研究</w:t>
      </w:r>
    </w:p>
    <w:p>
      <w:pPr>
        <w:pStyle w:val="2"/>
        <w:spacing w:line="221" w:lineRule="auto"/>
        <w:ind w:left="468"/>
      </w:pPr>
      <w:r>
        <w:rPr>
          <w:spacing w:val="7"/>
        </w:rPr>
        <w:t>82.新中国成立75周年教育理论刊物发展研究</w:t>
      </w:r>
    </w:p>
    <w:p>
      <w:pPr>
        <w:pStyle w:val="2"/>
        <w:spacing w:before="188" w:line="222" w:lineRule="auto"/>
        <w:ind w:left="468"/>
      </w:pPr>
      <w:r>
        <w:rPr>
          <w:spacing w:val="5"/>
        </w:rPr>
        <w:t>83.经典教育文本研究</w:t>
      </w:r>
    </w:p>
    <w:p>
      <w:pPr>
        <w:spacing w:line="222" w:lineRule="auto"/>
        <w:sectPr>
          <w:footerReference r:id="rId12" w:type="default"/>
          <w:pgSz w:w="11906" w:h="16839"/>
          <w:pgMar w:top="400" w:right="1785" w:bottom="1176" w:left="1785" w:header="0" w:footer="1007" w:gutter="0"/>
          <w:cols w:space="720" w:num="1"/>
        </w:sectPr>
      </w:pPr>
    </w:p>
    <w:p>
      <w:pPr>
        <w:pStyle w:val="2"/>
        <w:spacing w:before="101" w:line="222" w:lineRule="auto"/>
        <w:ind w:left="34"/>
      </w:pPr>
      <w:r>
        <w:rPr>
          <w:spacing w:val="-4"/>
        </w:rPr>
        <w:t>附件2</w:t>
      </w:r>
    </w:p>
    <w:p>
      <w:pPr>
        <w:spacing w:line="253" w:lineRule="auto"/>
        <w:rPr>
          <w:rFonts w:ascii="Arial"/>
          <w:sz w:val="21"/>
        </w:rPr>
      </w:pPr>
    </w:p>
    <w:p>
      <w:pPr>
        <w:spacing w:line="253" w:lineRule="auto"/>
        <w:rPr>
          <w:rFonts w:ascii="Arial"/>
          <w:sz w:val="21"/>
        </w:rPr>
      </w:pPr>
      <w:bookmarkStart w:id="0" w:name="_GoBack"/>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bookmarkEnd w:id="0"/>
    <w:p>
      <w:pPr>
        <w:spacing w:before="140" w:line="220" w:lineRule="auto"/>
        <w:ind w:left="1567"/>
        <w:rPr>
          <w:rFonts w:ascii="宋体" w:hAnsi="宋体" w:eastAsia="宋体" w:cs="宋体"/>
          <w:sz w:val="43"/>
          <w:szCs w:val="43"/>
        </w:rPr>
      </w:pPr>
      <w:r>
        <w:rPr>
          <w:rFonts w:ascii="宋体" w:hAnsi="宋体" w:eastAsia="宋体" w:cs="宋体"/>
          <w:spacing w:val="8"/>
          <w:sz w:val="43"/>
          <w:szCs w:val="43"/>
          <w14:textOutline w14:w="6350" w14:cap="flat" w14:cmpd="sng">
            <w14:solidFill>
              <w14:srgbClr w14:val="000000"/>
            </w14:solidFill>
            <w14:prstDash w14:val="solid"/>
            <w14:miter w14:val="0"/>
          </w14:textOutline>
        </w:rPr>
        <w:t>2024年全国教育科学规划项目</w:t>
      </w:r>
    </w:p>
    <w:p>
      <w:pPr>
        <w:spacing w:before="7" w:line="232" w:lineRule="auto"/>
        <w:jc w:val="right"/>
        <w:rPr>
          <w:rFonts w:ascii="宋体" w:hAnsi="宋体" w:eastAsia="宋体" w:cs="宋体"/>
          <w:sz w:val="43"/>
          <w:szCs w:val="43"/>
        </w:rPr>
      </w:pPr>
      <w:r>
        <w:rPr>
          <w:rFonts w:ascii="宋体" w:hAnsi="宋体" w:eastAsia="宋体" w:cs="宋体"/>
          <w:spacing w:val="10"/>
          <w:sz w:val="43"/>
          <w:szCs w:val="43"/>
          <w14:textOutline w14:w="6350" w14:cap="flat" w14:cmpd="sng">
            <w14:solidFill>
              <w14:srgbClr w14:val="000000"/>
            </w14:solidFill>
            <w14:prstDash w14:val="solid"/>
            <w14:miter w14:val="0"/>
          </w14:textOutline>
        </w:rPr>
        <w:t>（国家重点、国家一般、国家青年、教育部重</w:t>
      </w:r>
    </w:p>
    <w:p>
      <w:pPr>
        <w:spacing w:line="602" w:lineRule="exact"/>
        <w:ind w:left="1346"/>
        <w:rPr>
          <w:rFonts w:ascii="宋体" w:hAnsi="宋体" w:eastAsia="宋体" w:cs="宋体"/>
          <w:sz w:val="43"/>
          <w:szCs w:val="43"/>
        </w:rPr>
      </w:pPr>
      <w:r>
        <w:rPr>
          <w:rFonts w:ascii="宋体" w:hAnsi="宋体" w:eastAsia="宋体" w:cs="宋体"/>
          <w:spacing w:val="9"/>
          <w:position w:val="3"/>
          <w:sz w:val="43"/>
          <w:szCs w:val="43"/>
          <w14:textOutline w14:w="6350" w14:cap="flat" w14:cmpd="sng">
            <w14:solidFill>
              <w14:srgbClr w14:val="000000"/>
            </w14:solidFill>
            <w14:prstDash w14:val="solid"/>
            <w14:miter w14:val="0"/>
          </w14:textOutline>
        </w:rPr>
        <w:t>点、教育部青年、专项）申请书</w:t>
      </w:r>
    </w:p>
    <w:p>
      <w:pPr>
        <w:spacing w:line="411" w:lineRule="auto"/>
        <w:rPr>
          <w:rFonts w:ascii="Arial"/>
          <w:sz w:val="21"/>
        </w:rPr>
      </w:pPr>
    </w:p>
    <w:p>
      <w:pPr>
        <w:pStyle w:val="2"/>
        <w:spacing w:before="101" w:line="226" w:lineRule="auto"/>
        <w:ind w:left="1725"/>
      </w:pPr>
      <w:r>
        <w:rPr>
          <w:spacing w:val="7"/>
        </w:rPr>
        <w:t>（申请书表格请登录全规办网站下载）</w:t>
      </w:r>
    </w:p>
    <w:p>
      <w:pPr>
        <w:spacing w:line="226" w:lineRule="auto"/>
        <w:sectPr>
          <w:footerReference r:id="rId13" w:type="default"/>
          <w:pgSz w:w="11906" w:h="16839"/>
          <w:pgMar w:top="400" w:right="1499" w:bottom="1176" w:left="1588" w:header="0" w:footer="1007" w:gutter="0"/>
          <w:cols w:space="720" w:num="1"/>
        </w:sect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2"/>
        <w:spacing w:before="101" w:line="222" w:lineRule="auto"/>
        <w:ind w:left="36"/>
      </w:pPr>
      <w:r>
        <w:rPr>
          <w:spacing w:val="-4"/>
        </w:rPr>
        <w:t>附件3</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30" w:line="216" w:lineRule="auto"/>
        <w:ind w:left="1827"/>
        <w:rPr>
          <w:rFonts w:ascii="宋体" w:hAnsi="宋体" w:eastAsia="宋体" w:cs="宋体"/>
          <w:sz w:val="40"/>
          <w:szCs w:val="40"/>
        </w:rPr>
      </w:pPr>
      <w:r>
        <w:rPr>
          <w:rFonts w:ascii="宋体" w:hAnsi="宋体" w:eastAsia="宋体" w:cs="宋体"/>
          <w:spacing w:val="-1"/>
          <w:sz w:val="40"/>
          <w:szCs w:val="40"/>
          <w14:textOutline w14:w="6350" w14:cap="flat" w14:cmpd="sng">
            <w14:solidFill>
              <w14:srgbClr w14:val="000000"/>
            </w14:solidFill>
            <w14:prstDash w14:val="solid"/>
            <w14:miter w14:val="0"/>
          </w14:textOutline>
        </w:rPr>
        <w:t>2024年全国教育科学规划项目</w:t>
      </w:r>
    </w:p>
    <w:p>
      <w:pPr>
        <w:spacing w:before="52" w:line="540" w:lineRule="exact"/>
        <w:jc w:val="right"/>
        <w:rPr>
          <w:rFonts w:ascii="宋体" w:hAnsi="宋体" w:eastAsia="宋体" w:cs="宋体"/>
          <w:sz w:val="40"/>
          <w:szCs w:val="40"/>
        </w:rPr>
      </w:pPr>
      <w:r>
        <w:rPr>
          <w:rFonts w:ascii="宋体" w:hAnsi="宋体" w:eastAsia="宋体" w:cs="宋体"/>
          <w:spacing w:val="-2"/>
          <w:position w:val="2"/>
          <w:sz w:val="40"/>
          <w:szCs w:val="40"/>
          <w14:textOutline w14:w="6350" w14:cap="flat" w14:cmpd="sng">
            <w14:solidFill>
              <w14:srgbClr w14:val="000000"/>
            </w14:solidFill>
            <w14:prstDash w14:val="solid"/>
            <w14:miter w14:val="0"/>
          </w14:textOutline>
        </w:rPr>
        <w:t>（国家重点、国家一般、国家青年、教育部重点、</w:t>
      </w:r>
    </w:p>
    <w:p>
      <w:pPr>
        <w:spacing w:line="551" w:lineRule="exact"/>
        <w:ind w:left="2231"/>
        <w:rPr>
          <w:rFonts w:ascii="宋体" w:hAnsi="宋体" w:eastAsia="宋体" w:cs="宋体"/>
          <w:sz w:val="40"/>
          <w:szCs w:val="40"/>
        </w:rPr>
      </w:pPr>
      <w:r>
        <w:rPr>
          <w:rFonts w:ascii="宋体" w:hAnsi="宋体" w:eastAsia="宋体" w:cs="宋体"/>
          <w:spacing w:val="-1"/>
          <w:position w:val="2"/>
          <w:sz w:val="40"/>
          <w:szCs w:val="40"/>
          <w14:textOutline w14:w="6350" w14:cap="flat" w14:cmpd="sng">
            <w14:solidFill>
              <w14:srgbClr w14:val="000000"/>
            </w14:solidFill>
            <w14:prstDash w14:val="solid"/>
            <w14:miter w14:val="0"/>
          </w14:textOutline>
        </w:rPr>
        <w:t>教育部青年、专项）活页</w:t>
      </w:r>
    </w:p>
    <w:p>
      <w:pPr>
        <w:spacing w:line="401" w:lineRule="auto"/>
        <w:rPr>
          <w:rFonts w:ascii="Arial"/>
          <w:sz w:val="21"/>
        </w:rPr>
      </w:pPr>
    </w:p>
    <w:p>
      <w:pPr>
        <w:pStyle w:val="2"/>
        <w:spacing w:before="114" w:line="226" w:lineRule="auto"/>
        <w:ind w:left="1571"/>
        <w:rPr>
          <w:sz w:val="35"/>
          <w:szCs w:val="35"/>
        </w:rPr>
      </w:pPr>
      <w:r>
        <w:rPr>
          <w:spacing w:val="7"/>
          <w:sz w:val="35"/>
          <w:szCs w:val="35"/>
        </w:rPr>
        <w:t>（活页表格请登录全规办网站下载）</w:t>
      </w:r>
    </w:p>
    <w:p>
      <w:pPr>
        <w:spacing w:line="226" w:lineRule="auto"/>
        <w:rPr>
          <w:sz w:val="35"/>
          <w:szCs w:val="35"/>
        </w:rPr>
        <w:sectPr>
          <w:footerReference r:id="rId14" w:type="default"/>
          <w:pgSz w:w="11906" w:h="16839"/>
          <w:pgMar w:top="400" w:right="1555" w:bottom="1176" w:left="1586" w:header="0" w:footer="1006" w:gutter="0"/>
          <w:cols w:space="720" w:num="1"/>
        </w:sect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2"/>
        <w:spacing w:before="101" w:line="222" w:lineRule="auto"/>
        <w:ind w:left="26"/>
      </w:pPr>
      <w:r>
        <w:rPr>
          <w:spacing w:val="-4"/>
        </w:rPr>
        <w:t>附件4</w:t>
      </w:r>
    </w:p>
    <w:p>
      <w:pPr>
        <w:spacing w:line="242" w:lineRule="auto"/>
        <w:rPr>
          <w:rFonts w:ascii="Arial"/>
          <w:sz w:val="21"/>
        </w:rPr>
      </w:pPr>
    </w:p>
    <w:p>
      <w:pPr>
        <w:spacing w:line="243" w:lineRule="auto"/>
        <w:rPr>
          <w:rFonts w:ascii="Arial"/>
          <w:sz w:val="21"/>
        </w:rPr>
      </w:pPr>
    </w:p>
    <w:p>
      <w:pPr>
        <w:spacing w:before="130" w:line="234" w:lineRule="auto"/>
        <w:ind w:left="3224" w:right="1256" w:hanging="2006"/>
        <w:rPr>
          <w:rFonts w:ascii="宋体" w:hAnsi="宋体" w:eastAsia="宋体" w:cs="宋体"/>
          <w:sz w:val="40"/>
          <w:szCs w:val="40"/>
        </w:rPr>
      </w:pPr>
      <w:r>
        <w:rPr>
          <w:rFonts w:ascii="宋体" w:hAnsi="宋体" w:eastAsia="宋体" w:cs="宋体"/>
          <w:spacing w:val="-1"/>
          <w:sz w:val="40"/>
          <w:szCs w:val="40"/>
          <w14:textOutline w14:w="6350" w14:cap="flat" w14:cmpd="sng">
            <w14:solidFill>
              <w14:srgbClr w14:val="000000"/>
            </w14:solidFill>
            <w14:prstDash w14:val="solid"/>
            <w14:miter w14:val="0"/>
          </w14:textOutline>
        </w:rPr>
        <w:t>2024年度全国教育科学规划项目申报</w:t>
      </w:r>
      <w:r>
        <w:rPr>
          <w:rFonts w:ascii="宋体" w:hAnsi="宋体" w:eastAsia="宋体" w:cs="宋体"/>
          <w:spacing w:val="13"/>
          <w:sz w:val="40"/>
          <w:szCs w:val="40"/>
        </w:rPr>
        <w:t xml:space="preserve"> </w:t>
      </w:r>
      <w:r>
        <w:rPr>
          <w:rFonts w:ascii="宋体" w:hAnsi="宋体" w:eastAsia="宋体" w:cs="宋体"/>
          <w:spacing w:val="-2"/>
          <w:sz w:val="40"/>
          <w:szCs w:val="40"/>
          <w14:textOutline w14:w="6350" w14:cap="flat" w14:cmpd="sng">
            <w14:solidFill>
              <w14:srgbClr w14:val="000000"/>
            </w14:solidFill>
            <w14:prstDash w14:val="solid"/>
            <w14:miter w14:val="0"/>
          </w14:textOutline>
        </w:rPr>
        <w:t>常见问题答疑</w:t>
      </w:r>
    </w:p>
    <w:p>
      <w:pPr>
        <w:spacing w:line="283" w:lineRule="auto"/>
        <w:rPr>
          <w:rFonts w:ascii="Arial"/>
          <w:sz w:val="21"/>
        </w:rPr>
      </w:pPr>
    </w:p>
    <w:p>
      <w:pPr>
        <w:spacing w:line="283" w:lineRule="auto"/>
        <w:rPr>
          <w:rFonts w:ascii="Arial"/>
          <w:sz w:val="21"/>
        </w:rPr>
      </w:pPr>
    </w:p>
    <w:p>
      <w:pPr>
        <w:spacing w:before="101" w:line="518" w:lineRule="exact"/>
        <w:ind w:left="18"/>
        <w:rPr>
          <w:rFonts w:ascii="黑体" w:hAnsi="黑体" w:eastAsia="黑体" w:cs="黑体"/>
          <w:sz w:val="31"/>
          <w:szCs w:val="31"/>
        </w:rPr>
      </w:pPr>
      <w:r>
        <w:rPr>
          <w:rFonts w:ascii="黑体" w:hAnsi="黑体" w:eastAsia="黑体" w:cs="黑体"/>
          <w:color w:val="FF0000"/>
          <w:spacing w:val="4"/>
          <w:position w:val="14"/>
          <w:sz w:val="31"/>
          <w:szCs w:val="31"/>
        </w:rPr>
        <w:t>1.2024年度全国教育科学规划项目申报、评审周期是怎么安排的</w:t>
      </w:r>
    </w:p>
    <w:p>
      <w:pPr>
        <w:spacing w:line="419" w:lineRule="exact"/>
        <w:ind w:left="37"/>
        <w:rPr>
          <w:rFonts w:ascii="黑体" w:hAnsi="黑体" w:eastAsia="黑体" w:cs="黑体"/>
          <w:sz w:val="31"/>
          <w:szCs w:val="31"/>
        </w:rPr>
      </w:pPr>
      <w:r>
        <w:rPr>
          <w:rFonts w:ascii="黑体" w:hAnsi="黑体" w:eastAsia="黑体" w:cs="黑体"/>
          <w:color w:val="FF0000"/>
          <w:position w:val="2"/>
          <w:sz w:val="31"/>
          <w:szCs w:val="31"/>
        </w:rPr>
        <w:t>?</w:t>
      </w:r>
    </w:p>
    <w:p>
      <w:pPr>
        <w:pStyle w:val="2"/>
        <w:spacing w:before="101" w:line="310" w:lineRule="auto"/>
        <w:ind w:left="19" w:right="38" w:hanging="2"/>
        <w:jc w:val="both"/>
      </w:pPr>
      <w:r>
        <w:rPr>
          <w:spacing w:val="6"/>
        </w:rPr>
        <w:t>——2024 年度全国教育科学规划项目定于 2024 年</w:t>
      </w:r>
      <w:r>
        <w:rPr>
          <w:spacing w:val="40"/>
        </w:rPr>
        <w:t xml:space="preserve"> </w:t>
      </w:r>
      <w:r>
        <w:rPr>
          <w:spacing w:val="6"/>
        </w:rPr>
        <w:t>4月30日启</w:t>
      </w:r>
      <w:r>
        <w:t xml:space="preserve"> </w:t>
      </w:r>
      <w:r>
        <w:rPr>
          <w:spacing w:val="4"/>
        </w:rPr>
        <w:t xml:space="preserve">动网上申报，2024 年5月31日结束网上申报。二级管理单位网上 </w:t>
      </w:r>
      <w:r>
        <w:rPr>
          <w:spacing w:val="8"/>
        </w:rPr>
        <w:t>审核截止时间为2024年6月7日。我办计</w:t>
      </w:r>
      <w:r>
        <w:rPr>
          <w:spacing w:val="7"/>
        </w:rPr>
        <w:t>划于6-8月完成材料审核</w:t>
      </w:r>
    </w:p>
    <w:p>
      <w:pPr>
        <w:pStyle w:val="2"/>
        <w:spacing w:line="220" w:lineRule="auto"/>
        <w:ind w:left="12"/>
      </w:pPr>
      <w:r>
        <w:rPr>
          <w:spacing w:val="4"/>
        </w:rPr>
        <w:t>并组织评审。</w:t>
      </w:r>
    </w:p>
    <w:p>
      <w:pPr>
        <w:spacing w:before="150" w:line="227" w:lineRule="auto"/>
        <w:rPr>
          <w:rFonts w:ascii="黑体" w:hAnsi="黑体" w:eastAsia="黑体" w:cs="黑体"/>
          <w:sz w:val="31"/>
          <w:szCs w:val="31"/>
        </w:rPr>
      </w:pPr>
      <w:r>
        <w:rPr>
          <w:rFonts w:ascii="黑体" w:hAnsi="黑体" w:eastAsia="黑体" w:cs="黑体"/>
          <w:color w:val="FF0000"/>
          <w:spacing w:val="7"/>
          <w:sz w:val="31"/>
          <w:szCs w:val="31"/>
        </w:rPr>
        <w:t>2.项目通过什么渠道申报？</w:t>
      </w:r>
    </w:p>
    <w:p>
      <w:pPr>
        <w:pStyle w:val="2"/>
        <w:spacing w:before="140" w:line="280" w:lineRule="auto"/>
        <w:ind w:left="3" w:right="81" w:firstLine="13"/>
      </w:pPr>
      <w:r>
        <w:rPr>
          <w:spacing w:val="1"/>
        </w:rPr>
        <w:t>——本年度实行网络申报。</w:t>
      </w:r>
      <w:r>
        <w:rPr>
          <w:spacing w:val="-73"/>
        </w:rPr>
        <w:t xml:space="preserve"> </w:t>
      </w:r>
      <w:r>
        <w:rPr>
          <w:spacing w:val="1"/>
        </w:rPr>
        <w:t xml:space="preserve">“全国教育科学规划管理平台” (  </w:t>
      </w:r>
      <w:r>
        <w:fldChar w:fldCharType="begin"/>
      </w:r>
      <w:r>
        <w:instrText xml:space="preserve"> HYPERLINK "https://202.205.185.227" </w:instrText>
      </w:r>
      <w:r>
        <w:fldChar w:fldCharType="separate"/>
      </w:r>
      <w:r>
        <w:rPr>
          <w:u w:val="single" w:color="auto"/>
        </w:rPr>
        <w:t>https</w:t>
      </w:r>
      <w:r>
        <w:rPr>
          <w:spacing w:val="4"/>
          <w:u w:val="single" w:color="auto"/>
        </w:rPr>
        <w:t>://202.205.185.227</w:t>
      </w:r>
      <w:r>
        <w:rPr>
          <w:spacing w:val="4"/>
          <w:u w:val="single" w:color="auto"/>
        </w:rPr>
        <w:fldChar w:fldCharType="end"/>
      </w:r>
      <w:r>
        <w:rPr>
          <w:spacing w:val="4"/>
        </w:rPr>
        <w:t>，</w:t>
      </w:r>
      <w:r>
        <w:rPr>
          <w:spacing w:val="-81"/>
        </w:rPr>
        <w:t xml:space="preserve"> </w:t>
      </w:r>
      <w:r>
        <w:rPr>
          <w:spacing w:val="4"/>
        </w:rPr>
        <w:t>以下简称平台）中的</w:t>
      </w:r>
      <w:r>
        <w:rPr>
          <w:spacing w:val="-105"/>
        </w:rPr>
        <w:t xml:space="preserve"> </w:t>
      </w:r>
      <w:r>
        <w:rPr>
          <w:spacing w:val="4"/>
        </w:rPr>
        <w:t>“项目申报系</w:t>
      </w:r>
      <w:r>
        <w:t xml:space="preserve"> </w:t>
      </w:r>
      <w:r>
        <w:rPr>
          <w:spacing w:val="8"/>
        </w:rPr>
        <w:t>统”为本次申报的唯一网络平台。</w:t>
      </w:r>
    </w:p>
    <w:p>
      <w:pPr>
        <w:pStyle w:val="2"/>
        <w:spacing w:before="146" w:line="310" w:lineRule="auto"/>
        <w:ind w:left="10" w:right="35" w:firstLine="7"/>
        <w:jc w:val="both"/>
      </w:pPr>
      <w:r>
        <w:rPr>
          <w:spacing w:val="5"/>
        </w:rPr>
        <w:t>——</w:t>
      </w:r>
      <w:r>
        <w:rPr>
          <w:spacing w:val="5"/>
          <w14:textOutline w14:w="5793" w14:cap="sq" w14:cmpd="sng">
            <w14:solidFill>
              <w14:srgbClr w14:val="000000"/>
            </w14:solidFill>
            <w14:prstDash w14:val="solid"/>
            <w14:bevel/>
          </w14:textOutline>
        </w:rPr>
        <w:t>首次使用本平台的申请者</w:t>
      </w:r>
      <w:r>
        <w:rPr>
          <w:spacing w:val="5"/>
        </w:rPr>
        <w:t>，请按照平台“通知公告”</w:t>
      </w:r>
      <w:r>
        <w:rPr>
          <w:spacing w:val="4"/>
        </w:rPr>
        <w:t>栏目中</w:t>
      </w:r>
      <w:r>
        <w:t xml:space="preserve"> </w:t>
      </w:r>
      <w:r>
        <w:rPr>
          <w:spacing w:val="5"/>
        </w:rPr>
        <w:t>的《全国教育科学规划管理平台用户使用手册》进行注册和等候 审核。如果注册时所在单位选项中没有个人当前单位，则需要先</w:t>
      </w:r>
      <w:r>
        <w:rPr>
          <w:spacing w:val="2"/>
        </w:rPr>
        <w:t xml:space="preserve"> </w:t>
      </w:r>
      <w:r>
        <w:rPr>
          <w:spacing w:val="5"/>
        </w:rPr>
        <w:t>通知单位完成单位用户注册，单位用户被审核通过后个人用户就</w:t>
      </w:r>
    </w:p>
    <w:p>
      <w:pPr>
        <w:pStyle w:val="2"/>
        <w:spacing w:line="221" w:lineRule="auto"/>
        <w:ind w:left="16"/>
      </w:pPr>
      <w:r>
        <w:rPr>
          <w:spacing w:val="4"/>
        </w:rPr>
        <w:t>可以进行注册。</w:t>
      </w:r>
    </w:p>
    <w:p>
      <w:pPr>
        <w:pStyle w:val="2"/>
        <w:spacing w:before="152" w:line="309" w:lineRule="auto"/>
        <w:ind w:left="2" w:firstLine="14"/>
        <w:jc w:val="both"/>
      </w:pPr>
      <w:r>
        <w:rPr>
          <w:spacing w:val="6"/>
        </w:rPr>
        <w:t>——部委直属高校和直属单位、部省合建高校的申请者注册后，</w:t>
      </w:r>
      <w:r>
        <w:rPr>
          <w:spacing w:val="5"/>
        </w:rPr>
        <w:t xml:space="preserve"> 联系本单位科研管理部门审核通过后，即可登录系统开始申报书</w:t>
      </w:r>
    </w:p>
    <w:p>
      <w:pPr>
        <w:pStyle w:val="2"/>
        <w:spacing w:line="223" w:lineRule="auto"/>
        <w:ind w:left="29"/>
      </w:pPr>
      <w:r>
        <w:rPr>
          <w:spacing w:val="-3"/>
        </w:rPr>
        <w:t>的填写。</w:t>
      </w:r>
    </w:p>
    <w:p>
      <w:pPr>
        <w:spacing w:line="223" w:lineRule="auto"/>
        <w:sectPr>
          <w:footerReference r:id="rId15" w:type="default"/>
          <w:pgSz w:w="11906" w:h="16839"/>
          <w:pgMar w:top="400" w:right="1437" w:bottom="1176" w:left="1596" w:header="0" w:footer="1007"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1" w:line="310" w:lineRule="auto"/>
        <w:ind w:left="8" w:right="242" w:firstLine="14"/>
        <w:jc w:val="both"/>
      </w:pPr>
      <w:r>
        <w:rPr>
          <w:spacing w:val="5"/>
        </w:rPr>
        <w:t>——</w:t>
      </w:r>
      <w:r>
        <w:rPr>
          <w:spacing w:val="5"/>
          <w14:textOutline w14:w="5793" w14:cap="sq" w14:cmpd="sng">
            <w14:solidFill>
              <w14:srgbClr w14:val="000000"/>
            </w14:solidFill>
            <w14:prstDash w14:val="solid"/>
            <w14:bevel/>
          </w14:textOutline>
        </w:rPr>
        <w:t>非部委直属高校和直属单位、部省合建高</w:t>
      </w:r>
      <w:r>
        <w:rPr>
          <w:spacing w:val="4"/>
          <w14:textOutline w14:w="5793" w14:cap="sq" w14:cmpd="sng">
            <w14:solidFill>
              <w14:srgbClr w14:val="000000"/>
            </w14:solidFill>
            <w14:prstDash w14:val="solid"/>
            <w14:bevel/>
          </w14:textOutline>
        </w:rPr>
        <w:t>校的申请者注册后</w:t>
      </w:r>
      <w:r>
        <w:t xml:space="preserve"> </w:t>
      </w:r>
      <w:r>
        <w:rPr>
          <w:spacing w:val="7"/>
        </w:rPr>
        <w:t>,</w:t>
      </w:r>
      <w:r>
        <w:rPr>
          <w:spacing w:val="-39"/>
        </w:rPr>
        <w:t xml:space="preserve"> </w:t>
      </w:r>
      <w:r>
        <w:rPr>
          <w:spacing w:val="7"/>
          <w14:textOutline w14:w="5793" w14:cap="sq" w14:cmpd="sng">
            <w14:solidFill>
              <w14:srgbClr w14:val="000000"/>
            </w14:solidFill>
            <w14:prstDash w14:val="solid"/>
            <w14:bevel/>
          </w14:textOutline>
        </w:rPr>
        <w:t>需等待本单位科研管理部门和省级教育科学规</w:t>
      </w:r>
      <w:r>
        <w:rPr>
          <w:spacing w:val="6"/>
          <w14:textOutline w14:w="5793" w14:cap="sq" w14:cmpd="sng">
            <w14:solidFill>
              <w14:srgbClr w14:val="000000"/>
            </w14:solidFill>
            <w14:prstDash w14:val="solid"/>
            <w14:bevel/>
          </w14:textOutline>
        </w:rPr>
        <w:t>划办审核通过</w:t>
      </w:r>
      <w:r>
        <w:rPr>
          <w:spacing w:val="6"/>
        </w:rPr>
        <w:t>后</w:t>
      </w:r>
      <w:r>
        <w:t xml:space="preserve"> </w:t>
      </w:r>
      <w:r>
        <w:rPr>
          <w:spacing w:val="3"/>
        </w:rPr>
        <w:t>,</w:t>
      </w:r>
      <w:r>
        <w:rPr>
          <w:spacing w:val="66"/>
        </w:rPr>
        <w:t xml:space="preserve"> </w:t>
      </w:r>
      <w:r>
        <w:rPr>
          <w:spacing w:val="3"/>
        </w:rPr>
        <w:t>才能登录填写。全规办不直接受理个人的注册审核。若长时间</w:t>
      </w:r>
      <w:r>
        <w:t xml:space="preserve"> </w:t>
      </w:r>
      <w:r>
        <w:rPr>
          <w:spacing w:val="5"/>
        </w:rPr>
        <w:t>未审核通过，请与本单位科研管理部门和本省教育科学规划办联</w:t>
      </w:r>
      <w:r>
        <w:rPr>
          <w:spacing w:val="10"/>
        </w:rPr>
        <w:t xml:space="preserve"> </w:t>
      </w:r>
      <w:r>
        <w:rPr>
          <w:spacing w:val="5"/>
        </w:rPr>
        <w:t>系了解情况。</w:t>
      </w:r>
      <w:r>
        <w:rPr>
          <w:spacing w:val="5"/>
          <w14:textOutline w14:w="5793" w14:cap="sq" w14:cmpd="sng">
            <w14:solidFill>
              <w14:srgbClr w14:val="000000"/>
            </w14:solidFill>
            <w14:prstDash w14:val="solid"/>
            <w14:bevel/>
          </w14:textOutline>
        </w:rPr>
        <w:t>省教育科学规划联系方式见申报平台登录页面左侧</w:t>
      </w:r>
    </w:p>
    <w:p>
      <w:pPr>
        <w:pStyle w:val="2"/>
        <w:spacing w:line="222" w:lineRule="auto"/>
        <w:ind w:left="34"/>
      </w:pPr>
      <w:r>
        <w:rPr>
          <w:spacing w:val="5"/>
          <w14:textOutline w14:w="5793" w14:cap="sq" w14:cmpd="sng">
            <w14:solidFill>
              <w14:srgbClr w14:val="000000"/>
            </w14:solidFill>
            <w14:prstDash w14:val="solid"/>
            <w14:bevel/>
          </w14:textOutline>
        </w:rPr>
        <w:t>“通知公告”栏目。</w:t>
      </w:r>
    </w:p>
    <w:p>
      <w:pPr>
        <w:pStyle w:val="2"/>
        <w:spacing w:before="145" w:line="310" w:lineRule="auto"/>
        <w:ind w:left="12" w:right="239" w:firstLine="11"/>
        <w:jc w:val="both"/>
      </w:pPr>
      <w:r>
        <w:rPr>
          <w:spacing w:val="5"/>
        </w:rPr>
        <w:t>——高校附属中小学、幼儿园的申报者注册时，所属</w:t>
      </w:r>
      <w:r>
        <w:rPr>
          <w:spacing w:val="4"/>
        </w:rPr>
        <w:t>管理单位选</w:t>
      </w:r>
      <w:r>
        <w:t xml:space="preserve"> </w:t>
      </w:r>
      <w:r>
        <w:rPr>
          <w:spacing w:val="5"/>
        </w:rPr>
        <w:t>择“本省教育规划办”，而非其上级高校；没有社会统一代码证</w:t>
      </w:r>
    </w:p>
    <w:p>
      <w:pPr>
        <w:pStyle w:val="2"/>
        <w:spacing w:line="223" w:lineRule="auto"/>
        <w:ind w:left="36"/>
      </w:pPr>
      <w:r>
        <w:rPr>
          <w:spacing w:val="-2"/>
        </w:rPr>
        <w:t>的，填写</w:t>
      </w:r>
      <w:r>
        <w:rPr>
          <w:spacing w:val="-99"/>
        </w:rPr>
        <w:t xml:space="preserve"> </w:t>
      </w:r>
      <w:r>
        <w:rPr>
          <w:spacing w:val="-2"/>
        </w:rPr>
        <w:t>“无”。</w:t>
      </w:r>
    </w:p>
    <w:p>
      <w:pPr>
        <w:pStyle w:val="2"/>
        <w:spacing w:before="142" w:line="310" w:lineRule="auto"/>
        <w:ind w:left="7" w:firstLine="16"/>
        <w:jc w:val="both"/>
      </w:pPr>
      <w:r>
        <w:rPr>
          <w:spacing w:val="3"/>
        </w:rPr>
        <w:t>——个人用户及</w:t>
      </w:r>
      <w:r>
        <w:rPr>
          <w:spacing w:val="3"/>
          <w14:textOutline w14:w="5793" w14:cap="sq" w14:cmpd="sng">
            <w14:solidFill>
              <w14:srgbClr w14:val="000000"/>
            </w14:solidFill>
            <w14:prstDash w14:val="solid"/>
            <w14:bevel/>
          </w14:textOutline>
        </w:rPr>
        <w:t>非部委直属高校和直属单位、部省合建高校</w:t>
      </w:r>
      <w:r>
        <w:rPr>
          <w:spacing w:val="3"/>
        </w:rPr>
        <w:t>忘</w:t>
      </w:r>
      <w:r>
        <w:rPr>
          <w:spacing w:val="2"/>
        </w:rPr>
        <w:t xml:space="preserve">记  </w:t>
      </w:r>
      <w:r>
        <w:rPr>
          <w:spacing w:val="3"/>
        </w:rPr>
        <w:t xml:space="preserve">密码的，可以通过登录界面的“忘记密码”功能找回密码；部委  </w:t>
      </w:r>
      <w:r>
        <w:rPr>
          <w:spacing w:val="5"/>
        </w:rPr>
        <w:t>直属高校和直属单位、部省合建高校忘记密码的，需在通知公告</w:t>
      </w:r>
      <w:r>
        <w:rPr>
          <w:spacing w:val="6"/>
        </w:rPr>
        <w:t xml:space="preserve">  </w:t>
      </w:r>
      <w:r>
        <w:rPr>
          <w:spacing w:val="3"/>
        </w:rPr>
        <w:t>栏下载填写“省部级管理单位找回密码申请表”并加盖单</w:t>
      </w:r>
      <w:r>
        <w:rPr>
          <w:spacing w:val="2"/>
        </w:rPr>
        <w:t>位公章，</w:t>
      </w:r>
    </w:p>
    <w:p>
      <w:pPr>
        <w:pStyle w:val="2"/>
        <w:spacing w:before="1" w:line="221" w:lineRule="auto"/>
        <w:ind w:left="22"/>
      </w:pPr>
      <w:r>
        <w:rPr>
          <w:spacing w:val="8"/>
        </w:rPr>
        <w:t>扫描后以电子邮件的形式发送至全国教育科学规划办：</w:t>
      </w:r>
    </w:p>
    <w:p>
      <w:pPr>
        <w:pStyle w:val="2"/>
        <w:spacing w:before="149" w:line="215" w:lineRule="auto"/>
        <w:ind w:left="16"/>
      </w:pPr>
      <w:r>
        <w:t>ghb</w:t>
      </w:r>
      <w:r>
        <w:rPr>
          <w:spacing w:val="12"/>
        </w:rPr>
        <w:t>@</w:t>
      </w:r>
      <w:r>
        <w:t>moe</w:t>
      </w:r>
      <w:r>
        <w:rPr>
          <w:spacing w:val="12"/>
        </w:rPr>
        <w:t>.</w:t>
      </w:r>
      <w:r>
        <w:t>edu</w:t>
      </w:r>
      <w:r>
        <w:rPr>
          <w:spacing w:val="12"/>
        </w:rPr>
        <w:t>.</w:t>
      </w:r>
      <w:r>
        <w:t>cn</w:t>
      </w:r>
      <w:r>
        <w:rPr>
          <w:spacing w:val="12"/>
        </w:rPr>
        <w:t>。</w:t>
      </w:r>
    </w:p>
    <w:p>
      <w:pPr>
        <w:spacing w:before="155" w:line="227" w:lineRule="auto"/>
        <w:ind w:left="8"/>
        <w:rPr>
          <w:rFonts w:ascii="黑体" w:hAnsi="黑体" w:eastAsia="黑体" w:cs="黑体"/>
          <w:sz w:val="31"/>
          <w:szCs w:val="31"/>
        </w:rPr>
      </w:pPr>
      <w:r>
        <w:rPr>
          <w:rFonts w:ascii="黑体" w:hAnsi="黑体" w:eastAsia="黑体" w:cs="黑体"/>
          <w:color w:val="FF0000"/>
          <w:spacing w:val="8"/>
          <w:sz w:val="31"/>
          <w:szCs w:val="31"/>
        </w:rPr>
        <w:t>3.国家重大招标项目申请有什么主要注意事项？</w:t>
      </w:r>
    </w:p>
    <w:p>
      <w:pPr>
        <w:pStyle w:val="2"/>
        <w:spacing w:before="141" w:line="521" w:lineRule="exact"/>
        <w:ind w:left="23"/>
      </w:pPr>
      <w:r>
        <w:rPr>
          <w:spacing w:val="10"/>
          <w:position w:val="15"/>
        </w:rPr>
        <w:t>——</w:t>
      </w:r>
      <w:r>
        <w:rPr>
          <w:spacing w:val="10"/>
          <w:position w:val="15"/>
          <w14:textOutline w14:w="5793" w14:cap="sq" w14:cmpd="sng">
            <w14:solidFill>
              <w14:srgbClr w14:val="000000"/>
            </w14:solidFill>
            <w14:prstDash w14:val="solid"/>
            <w14:bevel/>
          </w14:textOutline>
        </w:rPr>
        <w:t>在研国家社会科学基金和全国教育科学规划各类项目的负</w:t>
      </w:r>
    </w:p>
    <w:p>
      <w:pPr>
        <w:pStyle w:val="2"/>
        <w:spacing w:before="1" w:line="220" w:lineRule="auto"/>
        <w:ind w:left="18"/>
      </w:pPr>
      <w:r>
        <w:rPr>
          <w:spacing w:val="8"/>
          <w14:textOutline w14:w="5793" w14:cap="sq" w14:cmpd="sng">
            <w14:solidFill>
              <w14:srgbClr w14:val="000000"/>
            </w14:solidFill>
            <w14:prstDash w14:val="solid"/>
            <w14:bevel/>
          </w14:textOutline>
        </w:rPr>
        <w:t>责人，</w:t>
      </w:r>
      <w:r>
        <w:rPr>
          <w:spacing w:val="8"/>
        </w:rPr>
        <w:t>不能作为首席专家和子课题负责人参加本次投标。</w:t>
      </w:r>
    </w:p>
    <w:p>
      <w:pPr>
        <w:spacing w:before="147" w:line="227" w:lineRule="auto"/>
        <w:rPr>
          <w:rFonts w:ascii="黑体" w:hAnsi="黑体" w:eastAsia="黑体" w:cs="黑体"/>
          <w:sz w:val="31"/>
          <w:szCs w:val="31"/>
        </w:rPr>
      </w:pPr>
      <w:r>
        <w:rPr>
          <w:rFonts w:ascii="黑体" w:hAnsi="黑体" w:eastAsia="黑体" w:cs="黑体"/>
          <w:color w:val="FF0000"/>
          <w:spacing w:val="8"/>
          <w:sz w:val="31"/>
          <w:szCs w:val="31"/>
        </w:rPr>
        <w:t>4.国家重点项目申请有什么主要注意事项？</w:t>
      </w:r>
    </w:p>
    <w:p>
      <w:pPr>
        <w:pStyle w:val="2"/>
        <w:spacing w:before="141" w:line="520" w:lineRule="exact"/>
        <w:ind w:left="23"/>
      </w:pPr>
      <w:r>
        <w:rPr>
          <w:spacing w:val="3"/>
          <w:position w:val="15"/>
        </w:rPr>
        <w:t>——</w:t>
      </w:r>
      <w:r>
        <w:rPr>
          <w:spacing w:val="-102"/>
          <w:position w:val="15"/>
        </w:rPr>
        <w:t xml:space="preserve"> </w:t>
      </w:r>
      <w:r>
        <w:rPr>
          <w:spacing w:val="3"/>
          <w:position w:val="15"/>
        </w:rPr>
        <w:t>国家重点项目在“其它类别项目”申报系统中申报，请按照</w:t>
      </w:r>
    </w:p>
    <w:p>
      <w:pPr>
        <w:pStyle w:val="2"/>
        <w:spacing w:before="1" w:line="220" w:lineRule="auto"/>
        <w:ind w:left="56"/>
      </w:pPr>
      <w:r>
        <w:rPr>
          <w:spacing w:val="5"/>
        </w:rPr>
        <w:t>申报系统中的提示语填写申请材料。</w:t>
      </w:r>
    </w:p>
    <w:p>
      <w:pPr>
        <w:pStyle w:val="2"/>
        <w:spacing w:before="148" w:line="219" w:lineRule="auto"/>
        <w:ind w:left="23"/>
      </w:pPr>
      <w:r>
        <w:rPr>
          <w:spacing w:val="6"/>
        </w:rPr>
        <w:t>——</w:t>
      </w:r>
      <w:r>
        <w:rPr>
          <w:spacing w:val="-91"/>
        </w:rPr>
        <w:t xml:space="preserve"> </w:t>
      </w:r>
      <w:r>
        <w:rPr>
          <w:spacing w:val="6"/>
        </w:rPr>
        <w:t>申报重点项目评审未通过的，不能转为一般项目立项。</w:t>
      </w:r>
    </w:p>
    <w:p>
      <w:pPr>
        <w:spacing w:before="152" w:line="227" w:lineRule="auto"/>
        <w:ind w:left="1"/>
        <w:rPr>
          <w:rFonts w:ascii="黑体" w:hAnsi="黑体" w:eastAsia="黑体" w:cs="黑体"/>
          <w:sz w:val="31"/>
          <w:szCs w:val="31"/>
        </w:rPr>
      </w:pPr>
      <w:r>
        <w:rPr>
          <w:rFonts w:ascii="黑体" w:hAnsi="黑体" w:eastAsia="黑体" w:cs="黑体"/>
          <w:color w:val="FF0000"/>
          <w:spacing w:val="7"/>
          <w:sz w:val="31"/>
          <w:szCs w:val="31"/>
        </w:rPr>
        <w:t>5.是否实行限额申报？</w:t>
      </w:r>
    </w:p>
    <w:p>
      <w:pPr>
        <w:pStyle w:val="2"/>
        <w:spacing w:before="141" w:line="221" w:lineRule="auto"/>
        <w:ind w:left="23"/>
      </w:pPr>
      <w:r>
        <w:rPr>
          <w:spacing w:val="7"/>
        </w:rPr>
        <w:t>——年度项目实行限额申报。</w:t>
      </w:r>
    </w:p>
    <w:p>
      <w:pPr>
        <w:spacing w:line="221" w:lineRule="auto"/>
        <w:sectPr>
          <w:footerReference r:id="rId16" w:type="default"/>
          <w:pgSz w:w="11906" w:h="16839"/>
          <w:pgMar w:top="400" w:right="1233" w:bottom="1176" w:left="1590" w:header="0" w:footer="1007"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1" w:line="221" w:lineRule="auto"/>
        <w:ind w:left="23"/>
      </w:pPr>
      <w:r>
        <w:rPr>
          <w:spacing w:val="8"/>
        </w:rPr>
        <w:t>——</w:t>
      </w:r>
      <w:r>
        <w:rPr>
          <w:spacing w:val="8"/>
          <w14:textOutline w14:w="5793" w14:cap="sq" w14:cmpd="sng">
            <w14:solidFill>
              <w14:srgbClr w14:val="000000"/>
            </w14:solidFill>
            <w14:prstDash w14:val="solid"/>
            <w14:bevel/>
          </w14:textOutline>
        </w:rPr>
        <w:t>港澳台研究专项实行不限额申报。</w:t>
      </w:r>
    </w:p>
    <w:p>
      <w:pPr>
        <w:spacing w:before="148" w:line="227" w:lineRule="auto"/>
        <w:ind w:left="7"/>
        <w:rPr>
          <w:rFonts w:ascii="黑体" w:hAnsi="黑体" w:eastAsia="黑体" w:cs="黑体"/>
          <w:sz w:val="31"/>
          <w:szCs w:val="31"/>
        </w:rPr>
      </w:pPr>
      <w:r>
        <w:rPr>
          <w:rFonts w:ascii="黑体" w:hAnsi="黑体" w:eastAsia="黑体" w:cs="黑体"/>
          <w:color w:val="FF0000"/>
          <w:spacing w:val="7"/>
          <w:sz w:val="31"/>
          <w:szCs w:val="31"/>
        </w:rPr>
        <w:t>6.西部项目如何申报？</w:t>
      </w:r>
    </w:p>
    <w:p>
      <w:pPr>
        <w:pStyle w:val="2"/>
        <w:spacing w:before="142" w:line="309" w:lineRule="auto"/>
        <w:ind w:left="3" w:right="228" w:firstLine="20"/>
        <w:jc w:val="both"/>
      </w:pPr>
      <w:r>
        <w:rPr>
          <w:spacing w:val="5"/>
        </w:rPr>
        <w:t>——本年度西部项目作为一个项目类别单独申报。符合要</w:t>
      </w:r>
      <w:r>
        <w:rPr>
          <w:spacing w:val="4"/>
        </w:rPr>
        <w:t>求的单</w:t>
      </w:r>
      <w:r>
        <w:t xml:space="preserve"> </w:t>
      </w:r>
      <w:r>
        <w:rPr>
          <w:spacing w:val="5"/>
        </w:rPr>
        <w:t>位人员可以选择西部项目申报。西部项目与国家一般、国家青年</w:t>
      </w:r>
    </w:p>
    <w:p>
      <w:pPr>
        <w:pStyle w:val="2"/>
        <w:spacing w:before="1" w:line="221" w:lineRule="auto"/>
        <w:ind w:left="36"/>
      </w:pPr>
      <w:r>
        <w:rPr>
          <w:spacing w:val="5"/>
        </w:rPr>
        <w:t>的资助金额相同，每项20万元。</w:t>
      </w:r>
    </w:p>
    <w:p>
      <w:pPr>
        <w:pStyle w:val="2"/>
        <w:spacing w:before="148" w:line="518" w:lineRule="exact"/>
        <w:jc w:val="right"/>
      </w:pPr>
      <w:r>
        <w:rPr>
          <w:spacing w:val="2"/>
          <w:position w:val="15"/>
        </w:rPr>
        <w:t>——选择申报西部项目的申请人，不能再同时申报其他项目类</w:t>
      </w:r>
      <w:r>
        <w:rPr>
          <w:spacing w:val="1"/>
          <w:position w:val="15"/>
        </w:rPr>
        <w:t>别；</w:t>
      </w:r>
    </w:p>
    <w:p>
      <w:pPr>
        <w:pStyle w:val="2"/>
        <w:spacing w:line="223" w:lineRule="auto"/>
        <w:ind w:left="9"/>
      </w:pPr>
      <w:r>
        <w:rPr>
          <w:spacing w:val="5"/>
        </w:rPr>
        <w:t>反之亦然。</w:t>
      </w:r>
    </w:p>
    <w:p>
      <w:pPr>
        <w:pStyle w:val="2"/>
        <w:spacing w:before="146" w:line="521" w:lineRule="exact"/>
        <w:ind w:left="23"/>
      </w:pPr>
      <w:r>
        <w:rPr>
          <w:spacing w:val="5"/>
          <w:position w:val="15"/>
        </w:rPr>
        <w:t>——获准立项后，西部项目不得因其负责人工作调动</w:t>
      </w:r>
      <w:r>
        <w:rPr>
          <w:spacing w:val="4"/>
          <w:position w:val="15"/>
        </w:rPr>
        <w:t>而转出西部</w:t>
      </w:r>
    </w:p>
    <w:p>
      <w:pPr>
        <w:pStyle w:val="2"/>
        <w:spacing w:before="1" w:line="231" w:lineRule="auto"/>
        <w:ind w:left="6"/>
      </w:pPr>
      <w:r>
        <w:rPr>
          <w:spacing w:val="2"/>
        </w:rPr>
        <w:t>地区。</w:t>
      </w:r>
    </w:p>
    <w:p>
      <w:pPr>
        <w:spacing w:before="128" w:line="521" w:lineRule="exact"/>
        <w:ind w:left="9"/>
        <w:rPr>
          <w:rFonts w:ascii="黑体" w:hAnsi="黑体" w:eastAsia="黑体" w:cs="黑体"/>
          <w:sz w:val="31"/>
          <w:szCs w:val="31"/>
        </w:rPr>
      </w:pPr>
      <w:r>
        <w:rPr>
          <w:rFonts w:ascii="黑体" w:hAnsi="黑体" w:eastAsia="黑体" w:cs="黑体"/>
          <w:color w:val="FF0000"/>
          <w:spacing w:val="5"/>
          <w:position w:val="14"/>
          <w:sz w:val="31"/>
          <w:szCs w:val="31"/>
        </w:rPr>
        <w:t>7.正在办理项目结项的、撤项或终止的项目负责人能否申</w:t>
      </w:r>
      <w:r>
        <w:rPr>
          <w:rFonts w:ascii="黑体" w:hAnsi="黑体" w:eastAsia="黑体" w:cs="黑体"/>
          <w:color w:val="FF0000"/>
          <w:spacing w:val="4"/>
          <w:position w:val="14"/>
          <w:sz w:val="31"/>
          <w:szCs w:val="31"/>
        </w:rPr>
        <w:t>报2024</w:t>
      </w:r>
    </w:p>
    <w:p>
      <w:pPr>
        <w:spacing w:line="226" w:lineRule="auto"/>
        <w:ind w:left="9"/>
        <w:rPr>
          <w:rFonts w:ascii="黑体" w:hAnsi="黑体" w:eastAsia="黑体" w:cs="黑体"/>
          <w:sz w:val="31"/>
          <w:szCs w:val="31"/>
        </w:rPr>
      </w:pPr>
      <w:r>
        <w:rPr>
          <w:rFonts w:ascii="黑体" w:hAnsi="黑体" w:eastAsia="黑体" w:cs="黑体"/>
          <w:color w:val="FF0000"/>
          <w:spacing w:val="8"/>
          <w:sz w:val="31"/>
          <w:szCs w:val="31"/>
        </w:rPr>
        <w:t>年度全国教育科学规划项目？</w:t>
      </w:r>
    </w:p>
    <w:p>
      <w:pPr>
        <w:pStyle w:val="2"/>
        <w:spacing w:before="144" w:line="309" w:lineRule="auto"/>
        <w:ind w:left="22" w:right="231" w:firstLine="1"/>
      </w:pPr>
      <w:r>
        <w:rPr>
          <w:spacing w:val="9"/>
        </w:rPr>
        <w:t>——结项证书标注日期在申报截止日期2024年5月31日之前的，</w:t>
      </w:r>
      <w:r>
        <w:t xml:space="preserve"> </w:t>
      </w:r>
      <w:r>
        <w:rPr>
          <w:spacing w:val="5"/>
        </w:rPr>
        <w:t>可以申报本年度项目。</w:t>
      </w:r>
      <w:r>
        <w:rPr>
          <w:spacing w:val="5"/>
          <w14:textOutline w14:w="5793" w14:cap="sq" w14:cmpd="sng">
            <w14:solidFill>
              <w14:srgbClr w14:val="000000"/>
            </w14:solidFill>
            <w14:prstDash w14:val="solid"/>
            <w14:bevel/>
          </w14:textOutline>
        </w:rPr>
        <w:t>在此之前虽然提交了结项材料但</w:t>
      </w:r>
      <w:r>
        <w:rPr>
          <w:spacing w:val="4"/>
          <w14:textOutline w14:w="5793" w14:cap="sq" w14:cmpd="sng">
            <w14:solidFill>
              <w14:srgbClr w14:val="000000"/>
            </w14:solidFill>
            <w14:prstDash w14:val="solid"/>
            <w14:bevel/>
          </w14:textOutline>
        </w:rPr>
        <w:t>未获得结</w:t>
      </w:r>
    </w:p>
    <w:p>
      <w:pPr>
        <w:pStyle w:val="2"/>
        <w:spacing w:before="1" w:line="222" w:lineRule="auto"/>
        <w:ind w:left="12"/>
      </w:pPr>
      <w:r>
        <w:rPr>
          <w:spacing w:val="7"/>
          <w14:textOutline w14:w="5793" w14:cap="sq" w14:cmpd="sng">
            <w14:solidFill>
              <w14:srgbClr w14:val="000000"/>
            </w14:solidFill>
            <w14:prstDash w14:val="solid"/>
            <w14:bevel/>
          </w14:textOutline>
        </w:rPr>
        <w:t>项证书者不得申报。</w:t>
      </w:r>
    </w:p>
    <w:p>
      <w:pPr>
        <w:pStyle w:val="2"/>
        <w:spacing w:before="147" w:line="518" w:lineRule="exact"/>
        <w:ind w:left="23"/>
      </w:pPr>
      <w:r>
        <w:rPr>
          <w:spacing w:val="5"/>
          <w:position w:val="15"/>
        </w:rPr>
        <w:t>——近五年有撤项或终止的项目负责人，不能申报或</w:t>
      </w:r>
      <w:r>
        <w:rPr>
          <w:spacing w:val="4"/>
          <w:position w:val="15"/>
        </w:rPr>
        <w:t>作为项目组</w:t>
      </w:r>
    </w:p>
    <w:p>
      <w:pPr>
        <w:pStyle w:val="2"/>
        <w:spacing w:before="1" w:line="222" w:lineRule="auto"/>
        <w:ind w:left="16"/>
      </w:pPr>
      <w:r>
        <w:rPr>
          <w:spacing w:val="8"/>
        </w:rPr>
        <w:t>成员参与申报本年度各级各类项目。</w:t>
      </w:r>
    </w:p>
    <w:p>
      <w:pPr>
        <w:spacing w:before="146" w:line="521" w:lineRule="exact"/>
        <w:ind w:left="4"/>
        <w:rPr>
          <w:rFonts w:ascii="黑体" w:hAnsi="黑体" w:eastAsia="黑体" w:cs="黑体"/>
          <w:sz w:val="31"/>
          <w:szCs w:val="31"/>
        </w:rPr>
      </w:pPr>
      <w:r>
        <w:rPr>
          <w:rFonts w:ascii="黑体" w:hAnsi="黑体" w:eastAsia="黑体" w:cs="黑体"/>
          <w:color w:val="FF0000"/>
          <w:spacing w:val="9"/>
          <w:position w:val="14"/>
          <w:sz w:val="31"/>
          <w:szCs w:val="31"/>
        </w:rPr>
        <w:t>8.副教授/副研究员及其他系列（含中小学）副高级职称可以申</w:t>
      </w:r>
    </w:p>
    <w:p>
      <w:pPr>
        <w:spacing w:line="226" w:lineRule="auto"/>
        <w:ind w:left="6"/>
        <w:rPr>
          <w:rFonts w:ascii="黑体" w:hAnsi="黑体" w:eastAsia="黑体" w:cs="黑体"/>
          <w:sz w:val="31"/>
          <w:szCs w:val="31"/>
        </w:rPr>
      </w:pPr>
      <w:r>
        <w:rPr>
          <w:rFonts w:ascii="黑体" w:hAnsi="黑体" w:eastAsia="黑体" w:cs="黑体"/>
          <w:color w:val="FF0000"/>
          <w:spacing w:val="8"/>
          <w:sz w:val="31"/>
          <w:szCs w:val="31"/>
        </w:rPr>
        <w:t>报国家社科基金一般项目吗？</w:t>
      </w:r>
    </w:p>
    <w:p>
      <w:pPr>
        <w:pStyle w:val="2"/>
        <w:spacing w:before="141" w:line="223" w:lineRule="auto"/>
        <w:ind w:left="23"/>
      </w:pPr>
      <w:r>
        <w:rPr>
          <w:spacing w:val="2"/>
        </w:rPr>
        <w:t>——可以。</w:t>
      </w:r>
    </w:p>
    <w:p>
      <w:pPr>
        <w:spacing w:before="145" w:line="226" w:lineRule="auto"/>
        <w:rPr>
          <w:rFonts w:ascii="黑体" w:hAnsi="黑体" w:eastAsia="黑体" w:cs="黑体"/>
          <w:sz w:val="31"/>
          <w:szCs w:val="31"/>
        </w:rPr>
      </w:pPr>
      <w:r>
        <w:rPr>
          <w:rFonts w:ascii="黑体" w:hAnsi="黑体" w:eastAsia="黑体" w:cs="黑体"/>
          <w:color w:val="FF0000"/>
          <w:spacing w:val="9"/>
          <w:sz w:val="31"/>
          <w:szCs w:val="31"/>
        </w:rPr>
        <w:t>9.对项目组成员的年龄、职称、职务、国籍等有限制吗？</w:t>
      </w:r>
    </w:p>
    <w:p>
      <w:pPr>
        <w:pStyle w:val="2"/>
        <w:spacing w:before="142" w:line="518" w:lineRule="exact"/>
        <w:ind w:left="23"/>
      </w:pPr>
      <w:r>
        <w:rPr>
          <w:spacing w:val="5"/>
          <w:position w:val="15"/>
        </w:rPr>
        <w:t>——没有限制。证件号一栏请选择填写身份证号、台胞证号、港</w:t>
      </w:r>
    </w:p>
    <w:p>
      <w:pPr>
        <w:pStyle w:val="2"/>
        <w:spacing w:line="221" w:lineRule="auto"/>
        <w:ind w:left="16"/>
      </w:pPr>
      <w:r>
        <w:rPr>
          <w:spacing w:val="8"/>
        </w:rPr>
        <w:t>澳通行证号、护照号等有效证件号码。</w:t>
      </w:r>
    </w:p>
    <w:p>
      <w:pPr>
        <w:spacing w:before="149" w:line="520" w:lineRule="exact"/>
        <w:ind w:left="24"/>
        <w:rPr>
          <w:rFonts w:ascii="黑体" w:hAnsi="黑体" w:eastAsia="黑体" w:cs="黑体"/>
          <w:sz w:val="31"/>
          <w:szCs w:val="31"/>
        </w:rPr>
      </w:pPr>
      <w:r>
        <w:rPr>
          <w:rFonts w:ascii="黑体" w:hAnsi="黑体" w:eastAsia="黑体" w:cs="黑体"/>
          <w:color w:val="FF0000"/>
          <w:spacing w:val="8"/>
          <w:position w:val="14"/>
          <w:sz w:val="31"/>
          <w:szCs w:val="31"/>
        </w:rPr>
        <w:t>10.《活页》的有关论证中能否出现申请人已发表文章的文章题</w:t>
      </w:r>
    </w:p>
    <w:p>
      <w:pPr>
        <w:spacing w:line="227" w:lineRule="auto"/>
        <w:ind w:left="48"/>
        <w:rPr>
          <w:rFonts w:ascii="黑体" w:hAnsi="黑体" w:eastAsia="黑体" w:cs="黑体"/>
          <w:sz w:val="31"/>
          <w:szCs w:val="31"/>
        </w:rPr>
      </w:pPr>
      <w:r>
        <w:rPr>
          <w:rFonts w:ascii="黑体" w:hAnsi="黑体" w:eastAsia="黑体" w:cs="黑体"/>
          <w:color w:val="FF0000"/>
          <w:spacing w:val="3"/>
          <w:sz w:val="31"/>
          <w:szCs w:val="31"/>
        </w:rPr>
        <w:t>目及承担项目的名称？</w:t>
      </w:r>
    </w:p>
    <w:p>
      <w:pPr>
        <w:spacing w:line="227" w:lineRule="auto"/>
        <w:rPr>
          <w:rFonts w:ascii="黑体" w:hAnsi="黑体" w:eastAsia="黑体" w:cs="黑体"/>
          <w:sz w:val="31"/>
          <w:szCs w:val="31"/>
        </w:rPr>
        <w:sectPr>
          <w:footerReference r:id="rId17" w:type="default"/>
          <w:pgSz w:w="11906" w:h="16839"/>
          <w:pgMar w:top="400" w:right="1244" w:bottom="1176" w:left="1590" w:header="0" w:footer="1007"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0" w:line="310" w:lineRule="auto"/>
        <w:ind w:left="23" w:right="35" w:hanging="3"/>
        <w:jc w:val="both"/>
      </w:pPr>
      <w:r>
        <w:rPr>
          <w:spacing w:val="5"/>
        </w:rPr>
        <w:t>——《活页》中不可以出现申请人及成员承担的项目</w:t>
      </w:r>
      <w:r>
        <w:rPr>
          <w:spacing w:val="4"/>
        </w:rPr>
        <w:t>名称，可用</w:t>
      </w:r>
      <w:r>
        <w:t xml:space="preserve"> </w:t>
      </w:r>
      <w:r>
        <w:rPr>
          <w:spacing w:val="5"/>
        </w:rPr>
        <w:t>学科名称替代，可以出现资助基金名称及立项年</w:t>
      </w:r>
      <w:r>
        <w:rPr>
          <w:spacing w:val="4"/>
        </w:rPr>
        <w:t>份。如：主持全</w:t>
      </w:r>
      <w:r>
        <w:t xml:space="preserve"> </w:t>
      </w:r>
      <w:r>
        <w:rPr>
          <w:spacing w:val="4"/>
        </w:rPr>
        <w:t>国教育科学规划教育部重点教育心理项目，2020年；参与教育部</w:t>
      </w:r>
    </w:p>
    <w:p>
      <w:pPr>
        <w:pStyle w:val="2"/>
        <w:spacing w:line="222" w:lineRule="auto"/>
        <w:ind w:left="7"/>
      </w:pPr>
      <w:r>
        <w:rPr>
          <w:spacing w:val="7"/>
        </w:rPr>
        <w:t>人文社科一般项目高等教育项目，2021年。</w:t>
      </w:r>
    </w:p>
    <w:p>
      <w:pPr>
        <w:spacing w:before="145" w:line="227" w:lineRule="auto"/>
        <w:ind w:left="21"/>
        <w:rPr>
          <w:rFonts w:ascii="黑体" w:hAnsi="黑体" w:eastAsia="黑体" w:cs="黑体"/>
          <w:sz w:val="31"/>
          <w:szCs w:val="31"/>
        </w:rPr>
      </w:pPr>
      <w:r>
        <w:rPr>
          <w:rFonts w:ascii="黑体" w:hAnsi="黑体" w:eastAsia="黑体" w:cs="黑体"/>
          <w:color w:val="FF0000"/>
          <w:spacing w:val="6"/>
          <w:sz w:val="31"/>
          <w:szCs w:val="31"/>
        </w:rPr>
        <w:t>11.经费预算填报有何要求？</w:t>
      </w:r>
    </w:p>
    <w:p>
      <w:pPr>
        <w:pStyle w:val="2"/>
        <w:spacing w:before="141" w:line="220" w:lineRule="auto"/>
        <w:ind w:left="20"/>
      </w:pPr>
      <w:r>
        <w:rPr>
          <w:spacing w:val="6"/>
        </w:rPr>
        <w:t>——</w:t>
      </w:r>
      <w:r>
        <w:rPr>
          <w:spacing w:val="-85"/>
        </w:rPr>
        <w:t xml:space="preserve"> </w:t>
      </w:r>
      <w:r>
        <w:rPr>
          <w:spacing w:val="6"/>
        </w:rPr>
        <w:t>申请人应按照《国家社会科学基金管理办法》和《国</w:t>
      </w:r>
    </w:p>
    <w:p>
      <w:pPr>
        <w:pStyle w:val="2"/>
        <w:spacing w:before="149" w:line="521" w:lineRule="exact"/>
        <w:ind w:left="12"/>
      </w:pPr>
      <w:r>
        <w:rPr>
          <w:spacing w:val="5"/>
          <w:position w:val="15"/>
        </w:rPr>
        <w:t>家社会科学基金项目资金管理办法》（详见我办网站）要求，根</w:t>
      </w:r>
    </w:p>
    <w:p>
      <w:pPr>
        <w:pStyle w:val="2"/>
        <w:spacing w:before="1" w:line="221" w:lineRule="auto"/>
        <w:ind w:left="8"/>
      </w:pPr>
      <w:r>
        <w:rPr>
          <w:spacing w:val="8"/>
        </w:rPr>
        <w:t>据实际需要编制科学合理的经费预算。</w:t>
      </w:r>
    </w:p>
    <w:p>
      <w:pPr>
        <w:spacing w:before="148" w:line="226" w:lineRule="auto"/>
        <w:ind w:left="21"/>
        <w:rPr>
          <w:rFonts w:ascii="黑体" w:hAnsi="黑体" w:eastAsia="黑体" w:cs="黑体"/>
          <w:sz w:val="31"/>
          <w:szCs w:val="31"/>
        </w:rPr>
      </w:pPr>
      <w:r>
        <w:rPr>
          <w:rFonts w:ascii="黑体" w:hAnsi="黑体" w:eastAsia="黑体" w:cs="黑体"/>
          <w:color w:val="FF0000"/>
          <w:spacing w:val="7"/>
          <w:sz w:val="31"/>
          <w:szCs w:val="31"/>
        </w:rPr>
        <w:t>12.平台申报中文本的常见问题如何处理？</w:t>
      </w:r>
    </w:p>
    <w:p>
      <w:pPr>
        <w:pStyle w:val="2"/>
        <w:spacing w:before="139" w:line="521" w:lineRule="exact"/>
        <w:ind w:left="20"/>
      </w:pPr>
      <w:r>
        <w:rPr>
          <w:spacing w:val="9"/>
          <w:position w:val="15"/>
        </w:rPr>
        <w:t>——导出来的申请书和活页的命名可用自带命名或做任何</w:t>
      </w:r>
      <w:r>
        <w:rPr>
          <w:spacing w:val="8"/>
          <w:position w:val="15"/>
        </w:rPr>
        <w:t>命名</w:t>
      </w:r>
    </w:p>
    <w:p>
      <w:pPr>
        <w:pStyle w:val="2"/>
        <w:spacing w:before="1" w:line="221" w:lineRule="auto"/>
      </w:pPr>
      <w:r>
        <w:rPr>
          <w:spacing w:val="9"/>
        </w:rPr>
        <w:t>都可以。评审时系统将会全部做匿名处理。</w:t>
      </w:r>
    </w:p>
    <w:p>
      <w:pPr>
        <w:pStyle w:val="2"/>
        <w:spacing w:before="150" w:line="309" w:lineRule="auto"/>
        <w:ind w:left="1" w:firstLine="18"/>
        <w:jc w:val="both"/>
      </w:pPr>
      <w:r>
        <w:rPr>
          <w:spacing w:val="3"/>
        </w:rPr>
        <w:t>——扫描后，</w:t>
      </w:r>
      <w:r>
        <w:rPr>
          <w:spacing w:val="-66"/>
        </w:rPr>
        <w:t xml:space="preserve"> </w:t>
      </w:r>
      <w:r>
        <w:rPr>
          <w:spacing w:val="3"/>
        </w:rPr>
        <w:t>申请书上的水印变淡甚至看不太清楚。没有关系，</w:t>
      </w:r>
      <w:r>
        <w:t xml:space="preserve"> </w:t>
      </w:r>
      <w:r>
        <w:rPr>
          <w:spacing w:val="10"/>
        </w:rPr>
        <w:t>保证申请书的内容与平台上一致即可。活页转换成</w:t>
      </w:r>
      <w:r>
        <w:t>PDF</w:t>
      </w:r>
      <w:r>
        <w:rPr>
          <w:spacing w:val="10"/>
        </w:rPr>
        <w:t>后的水印</w:t>
      </w:r>
    </w:p>
    <w:p>
      <w:pPr>
        <w:pStyle w:val="2"/>
        <w:spacing w:before="1" w:line="220" w:lineRule="auto"/>
        <w:ind w:left="25"/>
      </w:pPr>
      <w:r>
        <w:rPr>
          <w:spacing w:val="4"/>
        </w:rPr>
        <w:t>一定要比较清晰。</w:t>
      </w:r>
    </w:p>
    <w:p>
      <w:pPr>
        <w:spacing w:before="150" w:line="226" w:lineRule="auto"/>
        <w:ind w:left="21"/>
        <w:rPr>
          <w:rFonts w:ascii="黑体" w:hAnsi="黑体" w:eastAsia="黑体" w:cs="黑体"/>
          <w:sz w:val="31"/>
          <w:szCs w:val="31"/>
        </w:rPr>
      </w:pPr>
      <w:r>
        <w:rPr>
          <w:rFonts w:ascii="黑体" w:hAnsi="黑体" w:eastAsia="黑体" w:cs="黑体"/>
          <w:color w:val="FF0000"/>
          <w:spacing w:val="7"/>
          <w:sz w:val="31"/>
          <w:szCs w:val="31"/>
        </w:rPr>
        <w:t>13.申报材料是否已经在网上顺利提交？</w:t>
      </w:r>
    </w:p>
    <w:p>
      <w:pPr>
        <w:pStyle w:val="2"/>
        <w:spacing w:before="140" w:line="520" w:lineRule="exact"/>
        <w:ind w:left="20"/>
      </w:pPr>
      <w:r>
        <w:rPr>
          <w:spacing w:val="2"/>
          <w:position w:val="15"/>
        </w:rPr>
        <w:t>——</w:t>
      </w:r>
      <w:r>
        <w:rPr>
          <w:spacing w:val="-79"/>
          <w:position w:val="15"/>
        </w:rPr>
        <w:t xml:space="preserve"> </w:t>
      </w:r>
      <w:r>
        <w:rPr>
          <w:spacing w:val="2"/>
          <w:position w:val="15"/>
        </w:rPr>
        <w:t>申报材料全部填写好后，</w:t>
      </w:r>
      <w:r>
        <w:rPr>
          <w:spacing w:val="2"/>
          <w:position w:val="15"/>
          <w14:textOutline w14:w="5793" w14:cap="sq" w14:cmpd="sng">
            <w14:solidFill>
              <w14:srgbClr w14:val="000000"/>
            </w14:solidFill>
            <w14:prstDash w14:val="solid"/>
            <w14:bevel/>
          </w14:textOutline>
        </w:rPr>
        <w:t>提示“暂存”状态的，请一定记得</w:t>
      </w:r>
    </w:p>
    <w:p>
      <w:pPr>
        <w:pStyle w:val="2"/>
        <w:spacing w:before="1" w:line="219" w:lineRule="auto"/>
        <w:ind w:left="8"/>
      </w:pPr>
      <w:r>
        <w:rPr>
          <w:spacing w:val="6"/>
        </w:rPr>
        <w:t>在截止日期2024年5月31日17时之前</w:t>
      </w:r>
      <w:r>
        <w:rPr>
          <w:spacing w:val="6"/>
          <w14:textOutline w14:w="5793" w14:cap="sq" w14:cmpd="sng">
            <w14:solidFill>
              <w14:srgbClr w14:val="000000"/>
            </w14:solidFill>
            <w14:prstDash w14:val="solid"/>
            <w14:bevel/>
          </w14:textOutline>
        </w:rPr>
        <w:t>点击</w:t>
      </w:r>
      <w:r>
        <w:rPr>
          <w:spacing w:val="-103"/>
        </w:rPr>
        <w:t xml:space="preserve"> </w:t>
      </w:r>
      <w:r>
        <w:rPr>
          <w:spacing w:val="6"/>
          <w14:textOutline w14:w="5793" w14:cap="sq" w14:cmpd="sng">
            <w14:solidFill>
              <w14:srgbClr w14:val="000000"/>
            </w14:solidFill>
            <w14:prstDash w14:val="solid"/>
            <w14:bevel/>
          </w14:textOutline>
        </w:rPr>
        <w:t>“提交”按钮</w:t>
      </w:r>
      <w:r>
        <w:rPr>
          <w:spacing w:val="6"/>
        </w:rPr>
        <w:t>。</w:t>
      </w:r>
    </w:p>
    <w:p>
      <w:pPr>
        <w:pStyle w:val="2"/>
        <w:spacing w:before="151" w:line="310" w:lineRule="auto"/>
        <w:ind w:left="13" w:right="38" w:firstLine="6"/>
        <w:jc w:val="both"/>
      </w:pPr>
      <w:r>
        <w:rPr>
          <w:spacing w:val="5"/>
        </w:rPr>
        <w:t>——提交后状态变为“已提交，等待责任单位科研管</w:t>
      </w:r>
      <w:r>
        <w:rPr>
          <w:spacing w:val="4"/>
        </w:rPr>
        <w:t>理部门审核</w:t>
      </w:r>
      <w:r>
        <w:t xml:space="preserve"> </w:t>
      </w:r>
      <w:r>
        <w:rPr>
          <w:spacing w:val="5"/>
        </w:rPr>
        <w:t>”状态的，</w:t>
      </w:r>
      <w:r>
        <w:rPr>
          <w:spacing w:val="5"/>
          <w14:textOutline w14:w="5793" w14:cap="sq" w14:cmpd="sng">
            <w14:solidFill>
              <w14:srgbClr w14:val="000000"/>
            </w14:solidFill>
            <w14:prstDash w14:val="solid"/>
            <w14:bevel/>
          </w14:textOutline>
        </w:rPr>
        <w:t>非部委直属高校和直属单位、部省合建高校申请人</w:t>
      </w:r>
      <w:r>
        <w:rPr>
          <w:spacing w:val="5"/>
        </w:rPr>
        <w:t>请</w:t>
      </w:r>
      <w:r>
        <w:rPr>
          <w:spacing w:val="1"/>
        </w:rPr>
        <w:t xml:space="preserve"> </w:t>
      </w:r>
      <w:r>
        <w:rPr>
          <w:spacing w:val="8"/>
        </w:rPr>
        <w:t>一定记得在截止日期5月31日17时之前联系本单位科研管理人员</w:t>
      </w:r>
    </w:p>
    <w:p>
      <w:pPr>
        <w:pStyle w:val="2"/>
        <w:spacing w:line="221" w:lineRule="auto"/>
        <w:ind w:left="1"/>
      </w:pPr>
      <w:r>
        <w:rPr>
          <w:spacing w:val="10"/>
        </w:rPr>
        <w:t>及时审核。</w:t>
      </w:r>
      <w:r>
        <w:rPr>
          <w:spacing w:val="10"/>
          <w14:textOutline w14:w="5793" w14:cap="sq" w14:cmpd="sng">
            <w14:solidFill>
              <w14:srgbClr w14:val="000000"/>
            </w14:solidFill>
            <w14:prstDash w14:val="solid"/>
            <w14:bevel/>
          </w14:textOutline>
        </w:rPr>
        <w:t>注意本单位审核与提交的截止时间一致。</w:t>
      </w:r>
    </w:p>
    <w:p>
      <w:pPr>
        <w:pStyle w:val="2"/>
        <w:spacing w:before="148" w:line="310" w:lineRule="auto"/>
        <w:ind w:left="12" w:right="35" w:firstLine="7"/>
      </w:pPr>
      <w:r>
        <w:rPr>
          <w:spacing w:val="5"/>
        </w:rPr>
        <w:t>——二级管理单位（含各省级教育规划办、部委直属高校</w:t>
      </w:r>
      <w:r>
        <w:rPr>
          <w:spacing w:val="4"/>
        </w:rPr>
        <w:t>和直属</w:t>
      </w:r>
      <w:r>
        <w:t xml:space="preserve"> </w:t>
      </w:r>
      <w:r>
        <w:rPr>
          <w:spacing w:val="8"/>
        </w:rPr>
        <w:t>单位、部省合建高校）的审核提交截止时间为2024年6月7日18</w:t>
      </w:r>
    </w:p>
    <w:p>
      <w:pPr>
        <w:pStyle w:val="2"/>
        <w:spacing w:line="223" w:lineRule="auto"/>
        <w:ind w:left="35"/>
      </w:pPr>
      <w:r>
        <w:rPr>
          <w:spacing w:val="-17"/>
        </w:rPr>
        <w:t>时。</w:t>
      </w:r>
    </w:p>
    <w:p>
      <w:pPr>
        <w:spacing w:line="223" w:lineRule="auto"/>
        <w:sectPr>
          <w:footerReference r:id="rId18" w:type="default"/>
          <w:pgSz w:w="11906" w:h="16839"/>
          <w:pgMar w:top="400" w:right="1437" w:bottom="1176" w:left="1593" w:header="0" w:footer="1006" w:gutter="0"/>
          <w:cols w:space="720" w:num="1"/>
        </w:sect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100" w:line="310" w:lineRule="auto"/>
        <w:ind w:left="14" w:right="221" w:firstLine="5"/>
        <w:jc w:val="both"/>
      </w:pPr>
      <w:r>
        <w:t>——</w:t>
      </w:r>
      <w:r>
        <w:rPr>
          <w:spacing w:val="-92"/>
        </w:rPr>
        <w:t xml:space="preserve"> </w:t>
      </w:r>
      <w:r>
        <w:t>申请人需于 6月7</w:t>
      </w:r>
      <w:r>
        <w:rPr>
          <w:spacing w:val="79"/>
        </w:rPr>
        <w:t xml:space="preserve"> </w:t>
      </w:r>
      <w:r>
        <w:t>日之前密切关注审核状态，若</w:t>
      </w:r>
      <w:r>
        <w:rPr>
          <w:spacing w:val="-1"/>
        </w:rPr>
        <w:t>审核状态变</w:t>
      </w:r>
      <w:r>
        <w:t xml:space="preserve"> </w:t>
      </w:r>
      <w:r>
        <w:rPr>
          <w:spacing w:val="5"/>
        </w:rPr>
        <w:t>为“退回修改”，需查看审核记录，按审核记录修改意见对涉及</w:t>
      </w:r>
      <w:r>
        <w:rPr>
          <w:spacing w:val="2"/>
        </w:rPr>
        <w:t xml:space="preserve"> </w:t>
      </w:r>
      <w:r>
        <w:rPr>
          <w:spacing w:val="4"/>
        </w:rPr>
        <w:t>的页面内容、申请书、活页进行调整，并于 6月 7日15时之前重</w:t>
      </w:r>
    </w:p>
    <w:p>
      <w:pPr>
        <w:pStyle w:val="2"/>
        <w:spacing w:line="220" w:lineRule="auto"/>
        <w:ind w:left="10"/>
      </w:pPr>
      <w:r>
        <w:rPr>
          <w:spacing w:val="9"/>
        </w:rPr>
        <w:t>新上传申请书、活页并提交。审核期间不能新增申</w:t>
      </w:r>
      <w:r>
        <w:rPr>
          <w:spacing w:val="8"/>
        </w:rPr>
        <w:t>报材料。</w:t>
      </w:r>
    </w:p>
    <w:p>
      <w:pPr>
        <w:pStyle w:val="2"/>
        <w:spacing w:before="150" w:line="521" w:lineRule="exact"/>
        <w:ind w:left="20"/>
      </w:pPr>
      <w:r>
        <w:rPr>
          <w:spacing w:val="5"/>
          <w:position w:val="15"/>
        </w:rPr>
        <w:t>——请严格按照以上时间要求开展申请和审核工作，</w:t>
      </w:r>
      <w:r>
        <w:rPr>
          <w:spacing w:val="4"/>
          <w:position w:val="15"/>
        </w:rPr>
        <w:t>因错过受理</w:t>
      </w:r>
    </w:p>
    <w:p>
      <w:pPr>
        <w:pStyle w:val="2"/>
        <w:spacing w:line="220" w:lineRule="auto"/>
        <w:ind w:left="35"/>
      </w:pPr>
      <w:r>
        <w:rPr>
          <w:spacing w:val="8"/>
        </w:rPr>
        <w:t>时间、未按要求操作系统造成的责任由相关人员自行</w:t>
      </w:r>
      <w:r>
        <w:rPr>
          <w:spacing w:val="7"/>
        </w:rPr>
        <w:t>承担。</w:t>
      </w:r>
    </w:p>
    <w:p>
      <w:pPr>
        <w:spacing w:before="148" w:line="226" w:lineRule="auto"/>
        <w:ind w:left="21"/>
        <w:rPr>
          <w:rFonts w:ascii="黑体" w:hAnsi="黑体" w:eastAsia="黑体" w:cs="黑体"/>
          <w:sz w:val="31"/>
          <w:szCs w:val="31"/>
        </w:rPr>
      </w:pPr>
      <w:r>
        <w:rPr>
          <w:rFonts w:ascii="黑体" w:hAnsi="黑体" w:eastAsia="黑体" w:cs="黑体"/>
          <w:color w:val="FF0000"/>
          <w:spacing w:val="8"/>
          <w:sz w:val="31"/>
          <w:szCs w:val="31"/>
        </w:rPr>
        <w:t>14.各级管理部门在审核申请项目时重点审核哪</w:t>
      </w:r>
      <w:r>
        <w:rPr>
          <w:rFonts w:ascii="黑体" w:hAnsi="黑体" w:eastAsia="黑体" w:cs="黑体"/>
          <w:color w:val="FF0000"/>
          <w:spacing w:val="7"/>
          <w:sz w:val="31"/>
          <w:szCs w:val="31"/>
        </w:rPr>
        <w:t>些内容？</w:t>
      </w:r>
    </w:p>
    <w:p>
      <w:pPr>
        <w:pStyle w:val="2"/>
        <w:spacing w:before="137" w:line="310" w:lineRule="auto"/>
        <w:ind w:left="1" w:right="221" w:firstLine="18"/>
        <w:jc w:val="both"/>
      </w:pPr>
      <w:r>
        <w:rPr>
          <w:spacing w:val="9"/>
        </w:rPr>
        <w:t>——二级管理单位重点审核以下内容</w:t>
      </w:r>
      <w:r>
        <w:rPr>
          <w:spacing w:val="-29"/>
        </w:rPr>
        <w:t>：（</w:t>
      </w:r>
      <w:r>
        <w:rPr>
          <w:spacing w:val="9"/>
        </w:rPr>
        <w:t>1）</w:t>
      </w:r>
      <w:r>
        <w:rPr>
          <w:spacing w:val="-84"/>
        </w:rPr>
        <w:t xml:space="preserve"> </w:t>
      </w:r>
      <w:r>
        <w:rPr>
          <w:spacing w:val="9"/>
        </w:rPr>
        <w:t>申请人所在单位是</w:t>
      </w:r>
      <w:r>
        <w:t xml:space="preserve"> </w:t>
      </w:r>
      <w:r>
        <w:rPr>
          <w:spacing w:val="13"/>
        </w:rPr>
        <w:t>否是规定申报范围内的单位</w:t>
      </w:r>
      <w:r>
        <w:rPr>
          <w:spacing w:val="-35"/>
        </w:rPr>
        <w:t>；（</w:t>
      </w:r>
      <w:r>
        <w:rPr>
          <w:spacing w:val="13"/>
        </w:rPr>
        <w:t>2）填报的项目类别、学</w:t>
      </w:r>
      <w:r>
        <w:rPr>
          <w:spacing w:val="12"/>
        </w:rPr>
        <w:t>科门类</w:t>
      </w:r>
      <w:r>
        <w:t xml:space="preserve"> </w:t>
      </w:r>
      <w:r>
        <w:rPr>
          <w:spacing w:val="10"/>
        </w:rPr>
        <w:t>及申请书其他内容是否齐全、正确、真实</w:t>
      </w:r>
      <w:r>
        <w:rPr>
          <w:spacing w:val="-33"/>
        </w:rPr>
        <w:t>；（</w:t>
      </w:r>
      <w:r>
        <w:rPr>
          <w:spacing w:val="10"/>
        </w:rPr>
        <w:t>3）</w:t>
      </w:r>
      <w:r>
        <w:rPr>
          <w:spacing w:val="-84"/>
        </w:rPr>
        <w:t xml:space="preserve"> </w:t>
      </w:r>
      <w:r>
        <w:rPr>
          <w:spacing w:val="10"/>
        </w:rPr>
        <w:t>申请人本人是</w:t>
      </w:r>
      <w:r>
        <w:t xml:space="preserve"> </w:t>
      </w:r>
      <w:r>
        <w:rPr>
          <w:spacing w:val="5"/>
        </w:rPr>
        <w:t>否符合申报条件，包括专业技术职务是否符合规定，申报青年项</w:t>
      </w:r>
      <w:r>
        <w:rPr>
          <w:spacing w:val="14"/>
        </w:rPr>
        <w:t xml:space="preserve"> </w:t>
      </w:r>
      <w:r>
        <w:rPr>
          <w:spacing w:val="5"/>
        </w:rPr>
        <w:t>目的年龄是否超龄，申请人是否有在研的国家社会科学基金、国</w:t>
      </w:r>
      <w:r>
        <w:rPr>
          <w:spacing w:val="14"/>
        </w:rPr>
        <w:t xml:space="preserve"> </w:t>
      </w:r>
      <w:r>
        <w:rPr>
          <w:spacing w:val="5"/>
        </w:rPr>
        <w:t>家自然科学基金项目、教育部人文社科项目及全国教育科学规划</w:t>
      </w:r>
      <w:r>
        <w:rPr>
          <w:spacing w:val="16"/>
        </w:rPr>
        <w:t xml:space="preserve"> </w:t>
      </w:r>
      <w:r>
        <w:rPr>
          <w:spacing w:val="14"/>
        </w:rPr>
        <w:t>项目等</w:t>
      </w:r>
      <w:r>
        <w:rPr>
          <w:spacing w:val="-53"/>
        </w:rPr>
        <w:t>；（</w:t>
      </w:r>
      <w:r>
        <w:rPr>
          <w:spacing w:val="14"/>
        </w:rPr>
        <w:t>4）申请人是否同时申报 2个及以上项目</w:t>
      </w:r>
      <w:r>
        <w:rPr>
          <w:spacing w:val="-53"/>
        </w:rPr>
        <w:t>；（</w:t>
      </w:r>
      <w:r>
        <w:rPr>
          <w:spacing w:val="14"/>
        </w:rPr>
        <w:t>5）项目</w:t>
      </w:r>
      <w:r>
        <w:rPr>
          <w:spacing w:val="2"/>
        </w:rPr>
        <w:t xml:space="preserve"> </w:t>
      </w:r>
      <w:r>
        <w:rPr>
          <w:spacing w:val="13"/>
        </w:rPr>
        <w:t>组成员是否符合申报资格要求</w:t>
      </w:r>
      <w:r>
        <w:rPr>
          <w:spacing w:val="-34"/>
        </w:rPr>
        <w:t>；（</w:t>
      </w:r>
      <w:r>
        <w:rPr>
          <w:spacing w:val="13"/>
        </w:rPr>
        <w:t>6）《申请书》活</w:t>
      </w:r>
      <w:r>
        <w:rPr>
          <w:spacing w:val="12"/>
        </w:rPr>
        <w:t>页是否出现</w:t>
      </w:r>
    </w:p>
    <w:p>
      <w:pPr>
        <w:pStyle w:val="2"/>
        <w:spacing w:line="220" w:lineRule="auto"/>
        <w:ind w:left="52"/>
      </w:pPr>
      <w:r>
        <w:rPr>
          <w:spacing w:val="4"/>
        </w:rPr>
        <w:t>申请人学校、姓名等有关信息。</w:t>
      </w:r>
    </w:p>
    <w:p>
      <w:pPr>
        <w:pStyle w:val="2"/>
        <w:spacing w:before="152" w:line="309" w:lineRule="auto"/>
        <w:ind w:left="1" w:right="221" w:firstLine="18"/>
        <w:jc w:val="both"/>
      </w:pPr>
      <w:r>
        <w:rPr>
          <w:spacing w:val="5"/>
        </w:rPr>
        <w:t>——全规办完成资格终审后，对于不符合申报条件和要求</w:t>
      </w:r>
      <w:r>
        <w:rPr>
          <w:spacing w:val="4"/>
        </w:rPr>
        <w:t>的将一</w:t>
      </w:r>
      <w:r>
        <w:t xml:space="preserve"> </w:t>
      </w:r>
      <w:r>
        <w:rPr>
          <w:spacing w:val="5"/>
        </w:rPr>
        <w:t>律予以撤销；对申请人停止下一年的申报资格；对其所在申报单</w:t>
      </w:r>
    </w:p>
    <w:p>
      <w:pPr>
        <w:pStyle w:val="2"/>
        <w:spacing w:before="1" w:line="220" w:lineRule="auto"/>
      </w:pPr>
      <w:r>
        <w:rPr>
          <w:spacing w:val="9"/>
        </w:rPr>
        <w:t>位，将予以批评，并酌情减少下一年度本单位申报数量。</w:t>
      </w:r>
    </w:p>
    <w:p>
      <w:pPr>
        <w:spacing w:before="150" w:line="227" w:lineRule="auto"/>
        <w:ind w:left="21"/>
        <w:rPr>
          <w:rFonts w:ascii="黑体" w:hAnsi="黑体" w:eastAsia="黑体" w:cs="黑体"/>
          <w:sz w:val="31"/>
          <w:szCs w:val="31"/>
        </w:rPr>
      </w:pPr>
      <w:r>
        <w:rPr>
          <w:rFonts w:ascii="黑体" w:hAnsi="黑体" w:eastAsia="黑体" w:cs="黑体"/>
          <w:color w:val="FF0000"/>
          <w:spacing w:val="6"/>
          <w:sz w:val="31"/>
          <w:szCs w:val="31"/>
        </w:rPr>
        <w:t>15.项目申报是否要交纸质版材料？</w:t>
      </w:r>
    </w:p>
    <w:p>
      <w:pPr>
        <w:pStyle w:val="2"/>
        <w:spacing w:before="139" w:line="310" w:lineRule="auto"/>
        <w:ind w:left="18" w:right="223" w:firstLine="1"/>
        <w:jc w:val="both"/>
      </w:pPr>
      <w:r>
        <w:rPr>
          <w:spacing w:val="6"/>
        </w:rPr>
        <w:t>——</w:t>
      </w:r>
      <w:r>
        <w:rPr>
          <w:spacing w:val="-78"/>
        </w:rPr>
        <w:t xml:space="preserve"> </w:t>
      </w:r>
      <w:r>
        <w:rPr>
          <w:spacing w:val="6"/>
        </w:rPr>
        <w:t>申报国家重大招标需于</w:t>
      </w:r>
      <w:r>
        <w:rPr>
          <w:spacing w:val="6"/>
          <w14:textOutline w14:w="5793" w14:cap="sq" w14:cmpd="sng">
            <w14:solidFill>
              <w14:srgbClr w14:val="000000"/>
            </w14:solidFill>
            <w14:prstDash w14:val="solid"/>
            <w14:bevel/>
          </w14:textOutline>
        </w:rPr>
        <w:t>6月19日</w:t>
      </w:r>
      <w:r>
        <w:rPr>
          <w:spacing w:val="6"/>
        </w:rPr>
        <w:t>之前给全规办报送加盖公章</w:t>
      </w:r>
      <w:r>
        <w:t xml:space="preserve"> </w:t>
      </w:r>
      <w:r>
        <w:rPr>
          <w:spacing w:val="9"/>
        </w:rPr>
        <w:t>的纸质《投标书》。</w:t>
      </w:r>
      <w:r>
        <w:rPr>
          <w:spacing w:val="9"/>
          <w14:textOutline w14:w="5793" w14:cap="sq" w14:cmpd="sng">
            <w14:solidFill>
              <w14:srgbClr w14:val="000000"/>
            </w14:solidFill>
            <w14:prstDash w14:val="solid"/>
            <w14:bevel/>
          </w14:textOutline>
        </w:rPr>
        <w:t>投标人须提交的3篇与申报选题研究领域相</w:t>
      </w:r>
      <w:r>
        <w:rPr>
          <w:spacing w:val="17"/>
        </w:rPr>
        <w:t xml:space="preserve"> </w:t>
      </w:r>
      <w:r>
        <w:rPr>
          <w:spacing w:val="5"/>
          <w14:textOutline w14:w="5793" w14:cap="sq" w14:cmpd="sng">
            <w14:solidFill>
              <w14:srgbClr w14:val="000000"/>
            </w14:solidFill>
            <w14:prstDash w14:val="solid"/>
            <w14:bevel/>
          </w14:textOutline>
        </w:rPr>
        <w:t>关的代表性成果如果是论文，可以排版在《投标书》中</w:t>
      </w:r>
      <w:r>
        <w:rPr>
          <w:spacing w:val="4"/>
          <w14:textOutline w14:w="5793" w14:cap="sq" w14:cmpd="sng">
            <w14:solidFill>
              <w14:srgbClr w14:val="000000"/>
            </w14:solidFill>
            <w14:prstDash w14:val="solid"/>
            <w14:bevel/>
          </w14:textOutline>
        </w:rPr>
        <w:t>；如果是</w:t>
      </w:r>
    </w:p>
    <w:p>
      <w:pPr>
        <w:pStyle w:val="2"/>
        <w:spacing w:line="220" w:lineRule="auto"/>
        <w:jc w:val="right"/>
      </w:pPr>
      <w:r>
        <w:rPr>
          <w:spacing w:val="7"/>
          <w14:textOutline w14:w="5793" w14:cap="sq" w14:cmpd="sng">
            <w14:solidFill>
              <w14:srgbClr w14:val="000000"/>
            </w14:solidFill>
            <w14:prstDash w14:val="solid"/>
            <w14:bevel/>
          </w14:textOutline>
        </w:rPr>
        <w:t>著作，需要同时寄送5本给我办。</w:t>
      </w:r>
      <w:r>
        <w:rPr>
          <w:spacing w:val="7"/>
        </w:rPr>
        <w:t>其他年度项目无需寄送纸质版。</w:t>
      </w:r>
    </w:p>
    <w:p>
      <w:pPr>
        <w:spacing w:line="220" w:lineRule="auto"/>
        <w:sectPr>
          <w:footerReference r:id="rId19" w:type="default"/>
          <w:pgSz w:w="11906" w:h="16839"/>
          <w:pgMar w:top="400" w:right="1252" w:bottom="1176" w:left="1593" w:header="0" w:footer="1006" w:gutter="0"/>
          <w:cols w:space="720" w:num="1"/>
        </w:sect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2"/>
        <w:spacing w:before="100" w:line="222" w:lineRule="auto"/>
        <w:ind w:left="404"/>
      </w:pPr>
      <w:r>
        <w:rPr>
          <w:spacing w:val="-4"/>
        </w:rPr>
        <w:t>附件5</w:t>
      </w:r>
    </w:p>
    <w:p>
      <w:pPr>
        <w:spacing w:before="244" w:line="603" w:lineRule="exact"/>
        <w:ind w:left="113"/>
        <w:rPr>
          <w:rFonts w:ascii="宋体" w:hAnsi="宋体" w:eastAsia="宋体" w:cs="宋体"/>
          <w:sz w:val="28"/>
          <w:szCs w:val="28"/>
        </w:rPr>
      </w:pPr>
      <w:r>
        <w:rPr>
          <w:rFonts w:ascii="宋体" w:hAnsi="宋体" w:eastAsia="宋体" w:cs="宋体"/>
          <w:spacing w:val="2"/>
          <w:position w:val="3"/>
          <w:sz w:val="43"/>
          <w:szCs w:val="43"/>
          <w14:textOutline w14:w="6350" w14:cap="flat" w14:cmpd="sng">
            <w14:solidFill>
              <w14:srgbClr w14:val="000000"/>
            </w14:solidFill>
            <w14:prstDash w14:val="solid"/>
            <w14:miter w14:val="0"/>
          </w14:textOutline>
        </w:rPr>
        <w:t>全国教育科学规划2024年度申报课题汇总表（</w:t>
      </w:r>
      <w:r>
        <w:rPr>
          <w:rFonts w:ascii="宋体" w:hAnsi="宋体" w:eastAsia="宋体" w:cs="宋体"/>
          <w:position w:val="3"/>
          <w:sz w:val="43"/>
          <w:szCs w:val="43"/>
          <w14:textOutline w14:w="6350" w14:cap="flat" w14:cmpd="sng">
            <w14:solidFill>
              <w14:srgbClr w14:val="000000"/>
            </w14:solidFill>
            <w14:prstDash w14:val="solid"/>
            <w14:miter w14:val="0"/>
          </w14:textOutline>
        </w:rPr>
        <w:t>excel</w:t>
      </w:r>
      <w:r>
        <w:rPr>
          <w:rFonts w:ascii="宋体" w:hAnsi="宋体" w:eastAsia="宋体" w:cs="宋体"/>
          <w:spacing w:val="2"/>
          <w:position w:val="3"/>
          <w:sz w:val="43"/>
          <w:szCs w:val="43"/>
          <w14:textOutline w14:w="6350" w14:cap="flat" w14:cmpd="sng">
            <w14:solidFill>
              <w14:srgbClr w14:val="000000"/>
            </w14:solidFill>
            <w14:prstDash w14:val="solid"/>
            <w14:miter w14:val="0"/>
          </w14:textOutline>
        </w:rPr>
        <w:t>格式）</w:t>
      </w:r>
      <w:r>
        <w:rPr>
          <w:rFonts w:ascii="宋体" w:hAnsi="宋体" w:eastAsia="宋体" w:cs="宋体"/>
          <w:spacing w:val="2"/>
          <w:position w:val="3"/>
          <w:sz w:val="43"/>
          <w:szCs w:val="43"/>
        </w:rPr>
        <w:t xml:space="preserve">     </w:t>
      </w:r>
      <w:r>
        <w:rPr>
          <w:rFonts w:ascii="宋体" w:hAnsi="宋体" w:eastAsia="宋体" w:cs="宋体"/>
          <w:spacing w:val="1"/>
          <w:position w:val="5"/>
          <w:sz w:val="28"/>
          <w:szCs w:val="28"/>
        </w:rPr>
        <w:t>申报单位</w:t>
      </w:r>
      <w:r>
        <w:rPr>
          <w:rFonts w:ascii="宋体" w:hAnsi="宋体" w:eastAsia="宋体" w:cs="宋体"/>
          <w:spacing w:val="-21"/>
          <w:position w:val="5"/>
          <w:sz w:val="28"/>
          <w:szCs w:val="28"/>
        </w:rPr>
        <w:t>：（</w:t>
      </w:r>
      <w:r>
        <w:rPr>
          <w:rFonts w:ascii="宋体" w:hAnsi="宋体" w:eastAsia="宋体" w:cs="宋体"/>
          <w:spacing w:val="1"/>
          <w:position w:val="5"/>
          <w:sz w:val="28"/>
          <w:szCs w:val="28"/>
        </w:rPr>
        <w:t>公章）</w:t>
      </w:r>
    </w:p>
    <w:tbl>
      <w:tblPr>
        <w:tblStyle w:val="5"/>
        <w:tblW w:w="147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8"/>
        <w:gridCol w:w="540"/>
        <w:gridCol w:w="796"/>
        <w:gridCol w:w="564"/>
        <w:gridCol w:w="664"/>
        <w:gridCol w:w="738"/>
        <w:gridCol w:w="664"/>
        <w:gridCol w:w="664"/>
        <w:gridCol w:w="657"/>
        <w:gridCol w:w="722"/>
        <w:gridCol w:w="550"/>
        <w:gridCol w:w="732"/>
        <w:gridCol w:w="706"/>
        <w:gridCol w:w="726"/>
        <w:gridCol w:w="676"/>
        <w:gridCol w:w="691"/>
        <w:gridCol w:w="691"/>
        <w:gridCol w:w="691"/>
        <w:gridCol w:w="635"/>
        <w:gridCol w:w="738"/>
        <w:gridCol w:w="593"/>
        <w:gridCol w:w="7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5" w:hRule="atLeast"/>
        </w:trPr>
        <w:tc>
          <w:tcPr>
            <w:tcW w:w="568" w:type="dxa"/>
            <w:textDirection w:val="tbRlV"/>
            <w:vAlign w:val="top"/>
          </w:tcPr>
          <w:p>
            <w:pPr>
              <w:pStyle w:val="6"/>
              <w:spacing w:before="163" w:line="210" w:lineRule="auto"/>
              <w:ind w:left="743"/>
            </w:pPr>
            <w:r>
              <w:rPr>
                <w:spacing w:val="34"/>
                <w14:textOutline w14:w="4358" w14:cap="sq" w14:cmpd="sng">
                  <w14:solidFill>
                    <w14:srgbClr w14:val="000000"/>
                  </w14:solidFill>
                  <w14:prstDash w14:val="solid"/>
                  <w14:bevel/>
                </w14:textOutline>
              </w:rPr>
              <w:t>序号</w:t>
            </w:r>
          </w:p>
        </w:tc>
        <w:tc>
          <w:tcPr>
            <w:tcW w:w="540" w:type="dxa"/>
            <w:textDirection w:val="tbRlV"/>
            <w:vAlign w:val="top"/>
          </w:tcPr>
          <w:p>
            <w:pPr>
              <w:pStyle w:val="6"/>
              <w:spacing w:before="150" w:line="209" w:lineRule="auto"/>
              <w:ind w:left="431"/>
            </w:pPr>
            <w:r>
              <w:rPr>
                <w:spacing w:val="-1"/>
                <w14:textOutline w14:w="4358" w14:cap="sq" w14:cmpd="sng">
                  <w14:solidFill>
                    <w14:srgbClr w14:val="000000"/>
                  </w14:solidFill>
                  <w14:prstDash w14:val="solid"/>
                  <w14:bevel/>
                </w14:textOutline>
              </w:rPr>
              <w:t>选</w:t>
            </w:r>
            <w:r>
              <w:rPr>
                <w:spacing w:val="-46"/>
              </w:rPr>
              <w:t xml:space="preserve"> </w:t>
            </w:r>
            <w:r>
              <w:rPr>
                <w:spacing w:val="-1"/>
                <w14:textOutline w14:w="4358" w14:cap="sq" w14:cmpd="sng">
                  <w14:solidFill>
                    <w14:srgbClr w14:val="000000"/>
                  </w14:solidFill>
                  <w14:prstDash w14:val="solid"/>
                  <w14:bevel/>
                </w14:textOutline>
              </w:rPr>
              <w:t>题</w:t>
            </w:r>
            <w:r>
              <w:rPr>
                <w:spacing w:val="-50"/>
              </w:rPr>
              <w:t xml:space="preserve"> </w:t>
            </w:r>
            <w:r>
              <w:rPr>
                <w:spacing w:val="-1"/>
                <w14:textOutline w14:w="4358" w14:cap="sq" w14:cmpd="sng">
                  <w14:solidFill>
                    <w14:srgbClr w14:val="000000"/>
                  </w14:solidFill>
                  <w14:prstDash w14:val="solid"/>
                  <w14:bevel/>
                </w14:textOutline>
              </w:rPr>
              <w:t>来</w:t>
            </w:r>
            <w:r>
              <w:rPr>
                <w:spacing w:val="-48"/>
              </w:rPr>
              <w:t xml:space="preserve"> </w:t>
            </w:r>
            <w:r>
              <w:rPr>
                <w:spacing w:val="-1"/>
                <w14:textOutline w14:w="4358" w14:cap="sq" w14:cmpd="sng">
                  <w14:solidFill>
                    <w14:srgbClr w14:val="000000"/>
                  </w14:solidFill>
                  <w14:prstDash w14:val="solid"/>
                  <w14:bevel/>
                </w14:textOutline>
              </w:rPr>
              <w:t>源</w:t>
            </w:r>
          </w:p>
        </w:tc>
        <w:tc>
          <w:tcPr>
            <w:tcW w:w="796" w:type="dxa"/>
            <w:vAlign w:val="top"/>
          </w:tcPr>
          <w:p>
            <w:pPr>
              <w:spacing w:line="330" w:lineRule="auto"/>
              <w:rPr>
                <w:rFonts w:ascii="Arial"/>
                <w:sz w:val="21"/>
              </w:rPr>
            </w:pPr>
          </w:p>
          <w:p>
            <w:pPr>
              <w:spacing w:line="331" w:lineRule="auto"/>
              <w:rPr>
                <w:rFonts w:ascii="Arial"/>
                <w:sz w:val="21"/>
              </w:rPr>
            </w:pPr>
          </w:p>
          <w:p>
            <w:pPr>
              <w:pStyle w:val="6"/>
              <w:spacing w:before="78" w:line="230" w:lineRule="auto"/>
              <w:ind w:left="164" w:right="157" w:hanging="3"/>
            </w:pPr>
            <w:r>
              <w:rPr>
                <w:spacing w:val="-5"/>
                <w14:textOutline w14:w="4358" w14:cap="sq" w14:cmpd="sng">
                  <w14:solidFill>
                    <w14:srgbClr w14:val="000000"/>
                  </w14:solidFill>
                  <w14:prstDash w14:val="solid"/>
                  <w14:bevel/>
                </w14:textOutline>
              </w:rPr>
              <w:t>课题</w:t>
            </w:r>
            <w:r>
              <w:t xml:space="preserve"> </w:t>
            </w:r>
            <w:r>
              <w:rPr>
                <w:spacing w:val="-7"/>
                <w14:textOutline w14:w="4358" w14:cap="sq" w14:cmpd="sng">
                  <w14:solidFill>
                    <w14:srgbClr w14:val="000000"/>
                  </w14:solidFill>
                  <w14:prstDash w14:val="solid"/>
                  <w14:bevel/>
                </w14:textOutline>
              </w:rPr>
              <w:t>名称</w:t>
            </w:r>
          </w:p>
        </w:tc>
        <w:tc>
          <w:tcPr>
            <w:tcW w:w="564" w:type="dxa"/>
            <w:textDirection w:val="tbRlV"/>
            <w:vAlign w:val="top"/>
          </w:tcPr>
          <w:p>
            <w:pPr>
              <w:pStyle w:val="6"/>
              <w:spacing w:before="162" w:line="207" w:lineRule="auto"/>
              <w:ind w:left="431"/>
            </w:pPr>
            <w:r>
              <w:rPr>
                <w:spacing w:val="-1"/>
                <w14:textOutline w14:w="4358" w14:cap="sq" w14:cmpd="sng">
                  <w14:solidFill>
                    <w14:srgbClr w14:val="000000"/>
                  </w14:solidFill>
                  <w14:prstDash w14:val="solid"/>
                  <w14:bevel/>
                </w14:textOutline>
              </w:rPr>
              <w:t>学</w:t>
            </w:r>
            <w:r>
              <w:rPr>
                <w:spacing w:val="-46"/>
              </w:rPr>
              <w:t xml:space="preserve"> </w:t>
            </w:r>
            <w:r>
              <w:rPr>
                <w:spacing w:val="-1"/>
                <w14:textOutline w14:w="4358" w14:cap="sq" w14:cmpd="sng">
                  <w14:solidFill>
                    <w14:srgbClr w14:val="000000"/>
                  </w14:solidFill>
                  <w14:prstDash w14:val="solid"/>
                  <w14:bevel/>
                </w14:textOutline>
              </w:rPr>
              <w:t>科</w:t>
            </w:r>
            <w:r>
              <w:rPr>
                <w:spacing w:val="-50"/>
              </w:rPr>
              <w:t xml:space="preserve"> </w:t>
            </w:r>
            <w:r>
              <w:rPr>
                <w:spacing w:val="-1"/>
                <w14:textOutline w14:w="4358" w14:cap="sq" w14:cmpd="sng">
                  <w14:solidFill>
                    <w14:srgbClr w14:val="000000"/>
                  </w14:solidFill>
                  <w14:prstDash w14:val="solid"/>
                  <w14:bevel/>
                </w14:textOutline>
              </w:rPr>
              <w:t>分</w:t>
            </w:r>
            <w:r>
              <w:rPr>
                <w:spacing w:val="-48"/>
              </w:rPr>
              <w:t xml:space="preserve"> </w:t>
            </w:r>
            <w:r>
              <w:rPr>
                <w:spacing w:val="-1"/>
                <w14:textOutline w14:w="4358" w14:cap="sq" w14:cmpd="sng">
                  <w14:solidFill>
                    <w14:srgbClr w14:val="000000"/>
                  </w14:solidFill>
                  <w14:prstDash w14:val="solid"/>
                  <w14:bevel/>
                </w14:textOutline>
              </w:rPr>
              <w:t>类</w:t>
            </w:r>
          </w:p>
        </w:tc>
        <w:tc>
          <w:tcPr>
            <w:tcW w:w="664" w:type="dxa"/>
            <w:textDirection w:val="tbRlV"/>
            <w:vAlign w:val="top"/>
          </w:tcPr>
          <w:p>
            <w:pPr>
              <w:pStyle w:val="6"/>
              <w:spacing w:before="211" w:line="209" w:lineRule="auto"/>
              <w:ind w:left="431"/>
            </w:pPr>
            <w:r>
              <w:rPr>
                <w:spacing w:val="-1"/>
                <w14:textOutline w14:w="4358" w14:cap="sq" w14:cmpd="sng">
                  <w14:solidFill>
                    <w14:srgbClr w14:val="000000"/>
                  </w14:solidFill>
                  <w14:prstDash w14:val="solid"/>
                  <w14:bevel/>
                </w14:textOutline>
              </w:rPr>
              <w:t>课</w:t>
            </w:r>
            <w:r>
              <w:rPr>
                <w:spacing w:val="-46"/>
              </w:rPr>
              <w:t xml:space="preserve"> </w:t>
            </w:r>
            <w:r>
              <w:rPr>
                <w:spacing w:val="-1"/>
                <w14:textOutline w14:w="4358" w14:cap="sq" w14:cmpd="sng">
                  <w14:solidFill>
                    <w14:srgbClr w14:val="000000"/>
                  </w14:solidFill>
                  <w14:prstDash w14:val="solid"/>
                  <w14:bevel/>
                </w14:textOutline>
              </w:rPr>
              <w:t>题</w:t>
            </w:r>
            <w:r>
              <w:rPr>
                <w:spacing w:val="-50"/>
              </w:rPr>
              <w:t xml:space="preserve"> </w:t>
            </w:r>
            <w:r>
              <w:rPr>
                <w:spacing w:val="-1"/>
                <w14:textOutline w14:w="4358" w14:cap="sq" w14:cmpd="sng">
                  <w14:solidFill>
                    <w14:srgbClr w14:val="000000"/>
                  </w14:solidFill>
                  <w14:prstDash w14:val="solid"/>
                  <w14:bevel/>
                </w14:textOutline>
              </w:rPr>
              <w:t>类</w:t>
            </w:r>
            <w:r>
              <w:rPr>
                <w:spacing w:val="-48"/>
              </w:rPr>
              <w:t xml:space="preserve"> </w:t>
            </w:r>
            <w:r>
              <w:rPr>
                <w:spacing w:val="-1"/>
                <w14:textOutline w14:w="4358" w14:cap="sq" w14:cmpd="sng">
                  <w14:solidFill>
                    <w14:srgbClr w14:val="000000"/>
                  </w14:solidFill>
                  <w14:prstDash w14:val="solid"/>
                  <w14:bevel/>
                </w14:textOutline>
              </w:rPr>
              <w:t>别</w:t>
            </w:r>
          </w:p>
        </w:tc>
        <w:tc>
          <w:tcPr>
            <w:tcW w:w="738" w:type="dxa"/>
            <w:vAlign w:val="top"/>
          </w:tcPr>
          <w:p>
            <w:pPr>
              <w:spacing w:line="253" w:lineRule="auto"/>
              <w:rPr>
                <w:rFonts w:ascii="Arial"/>
                <w:sz w:val="21"/>
              </w:rPr>
            </w:pPr>
          </w:p>
          <w:p>
            <w:pPr>
              <w:spacing w:line="254" w:lineRule="auto"/>
              <w:rPr>
                <w:rFonts w:ascii="Arial"/>
                <w:sz w:val="21"/>
              </w:rPr>
            </w:pPr>
          </w:p>
          <w:p>
            <w:pPr>
              <w:pStyle w:val="6"/>
              <w:spacing w:before="78" w:line="219" w:lineRule="auto"/>
              <w:ind w:left="164"/>
            </w:pPr>
            <w:r>
              <w:rPr>
                <w:spacing w:val="-21"/>
                <w14:textOutline w14:w="4358" w14:cap="sq" w14:cmpd="sng">
                  <w14:solidFill>
                    <w14:srgbClr w14:val="000000"/>
                  </w14:solidFill>
                  <w14:prstDash w14:val="solid"/>
                  <w14:bevel/>
                </w14:textOutline>
              </w:rPr>
              <w:t>申报</w:t>
            </w:r>
          </w:p>
          <w:p>
            <w:pPr>
              <w:pStyle w:val="6"/>
              <w:spacing w:before="24" w:line="219" w:lineRule="auto"/>
              <w:ind w:left="135"/>
            </w:pPr>
            <w:r>
              <w:rPr>
                <w:spacing w:val="-6"/>
                <w14:textOutline w14:w="4358" w14:cap="sq" w14:cmpd="sng">
                  <w14:solidFill>
                    <w14:srgbClr w14:val="000000"/>
                  </w14:solidFill>
                  <w14:prstDash w14:val="solid"/>
                  <w14:bevel/>
                </w14:textOutline>
              </w:rPr>
              <w:t>人姓</w:t>
            </w:r>
          </w:p>
          <w:p>
            <w:pPr>
              <w:pStyle w:val="6"/>
              <w:spacing w:before="26" w:line="223" w:lineRule="auto"/>
              <w:ind w:left="258"/>
            </w:pPr>
            <w:r>
              <w:rPr>
                <w14:textOutline w14:w="4358" w14:cap="sq" w14:cmpd="sng">
                  <w14:solidFill>
                    <w14:srgbClr w14:val="000000"/>
                  </w14:solidFill>
                  <w14:prstDash w14:val="solid"/>
                  <w14:bevel/>
                </w14:textOutline>
              </w:rPr>
              <w:t>名</w:t>
            </w:r>
          </w:p>
        </w:tc>
        <w:tc>
          <w:tcPr>
            <w:tcW w:w="664" w:type="dxa"/>
            <w:textDirection w:val="tbRlV"/>
            <w:vAlign w:val="top"/>
          </w:tcPr>
          <w:p>
            <w:pPr>
              <w:pStyle w:val="6"/>
              <w:spacing w:before="209" w:line="209" w:lineRule="auto"/>
              <w:ind w:left="431"/>
            </w:pPr>
            <w:r>
              <w:rPr>
                <w:spacing w:val="-1"/>
                <w14:textOutline w14:w="4358" w14:cap="sq" w14:cmpd="sng">
                  <w14:solidFill>
                    <w14:srgbClr w14:val="000000"/>
                  </w14:solidFill>
                  <w14:prstDash w14:val="solid"/>
                  <w14:bevel/>
                </w14:textOutline>
              </w:rPr>
              <w:t>工</w:t>
            </w:r>
            <w:r>
              <w:rPr>
                <w:spacing w:val="-46"/>
              </w:rPr>
              <w:t xml:space="preserve"> </w:t>
            </w:r>
            <w:r>
              <w:rPr>
                <w:spacing w:val="-1"/>
                <w14:textOutline w14:w="4358" w14:cap="sq" w14:cmpd="sng">
                  <w14:solidFill>
                    <w14:srgbClr w14:val="000000"/>
                  </w14:solidFill>
                  <w14:prstDash w14:val="solid"/>
                  <w14:bevel/>
                </w14:textOutline>
              </w:rPr>
              <w:t>作</w:t>
            </w:r>
            <w:r>
              <w:rPr>
                <w:spacing w:val="-50"/>
              </w:rPr>
              <w:t xml:space="preserve"> </w:t>
            </w:r>
            <w:r>
              <w:rPr>
                <w:spacing w:val="-1"/>
                <w14:textOutline w14:w="4358" w14:cap="sq" w14:cmpd="sng">
                  <w14:solidFill>
                    <w14:srgbClr w14:val="000000"/>
                  </w14:solidFill>
                  <w14:prstDash w14:val="solid"/>
                  <w14:bevel/>
                </w14:textOutline>
              </w:rPr>
              <w:t>单</w:t>
            </w:r>
            <w:r>
              <w:rPr>
                <w:spacing w:val="-48"/>
              </w:rPr>
              <w:t xml:space="preserve"> </w:t>
            </w:r>
            <w:r>
              <w:rPr>
                <w:spacing w:val="-1"/>
                <w14:textOutline w14:w="4358" w14:cap="sq" w14:cmpd="sng">
                  <w14:solidFill>
                    <w14:srgbClr w14:val="000000"/>
                  </w14:solidFill>
                  <w14:prstDash w14:val="solid"/>
                  <w14:bevel/>
                </w14:textOutline>
              </w:rPr>
              <w:t>位</w:t>
            </w:r>
          </w:p>
        </w:tc>
        <w:tc>
          <w:tcPr>
            <w:tcW w:w="664" w:type="dxa"/>
            <w:textDirection w:val="tbRlV"/>
            <w:vAlign w:val="top"/>
          </w:tcPr>
          <w:p>
            <w:pPr>
              <w:pStyle w:val="6"/>
              <w:spacing w:before="209" w:line="207" w:lineRule="auto"/>
              <w:ind w:left="431"/>
            </w:pPr>
            <w:r>
              <w:rPr>
                <w:spacing w:val="-1"/>
                <w14:textOutline w14:w="4358" w14:cap="sq" w14:cmpd="sng">
                  <w14:solidFill>
                    <w14:srgbClr w14:val="000000"/>
                  </w14:solidFill>
                  <w14:prstDash w14:val="solid"/>
                  <w14:bevel/>
                </w14:textOutline>
              </w:rPr>
              <w:t>出</w:t>
            </w:r>
            <w:r>
              <w:rPr>
                <w:spacing w:val="-46"/>
              </w:rPr>
              <w:t xml:space="preserve"> </w:t>
            </w:r>
            <w:r>
              <w:rPr>
                <w:spacing w:val="-1"/>
                <w14:textOutline w14:w="4358" w14:cap="sq" w14:cmpd="sng">
                  <w14:solidFill>
                    <w14:srgbClr w14:val="000000"/>
                  </w14:solidFill>
                  <w14:prstDash w14:val="solid"/>
                  <w14:bevel/>
                </w14:textOutline>
              </w:rPr>
              <w:t>生</w:t>
            </w:r>
            <w:r>
              <w:rPr>
                <w:spacing w:val="-50"/>
              </w:rPr>
              <w:t xml:space="preserve"> </w:t>
            </w:r>
            <w:r>
              <w:rPr>
                <w:spacing w:val="-1"/>
                <w14:textOutline w14:w="4358" w14:cap="sq" w14:cmpd="sng">
                  <w14:solidFill>
                    <w14:srgbClr w14:val="000000"/>
                  </w14:solidFill>
                  <w14:prstDash w14:val="solid"/>
                  <w14:bevel/>
                </w14:textOutline>
              </w:rPr>
              <w:t>日</w:t>
            </w:r>
            <w:r>
              <w:rPr>
                <w:spacing w:val="-48"/>
              </w:rPr>
              <w:t xml:space="preserve"> </w:t>
            </w:r>
            <w:r>
              <w:rPr>
                <w:spacing w:val="-1"/>
                <w14:textOutline w14:w="4358" w14:cap="sq" w14:cmpd="sng">
                  <w14:solidFill>
                    <w14:srgbClr w14:val="000000"/>
                  </w14:solidFill>
                  <w14:prstDash w14:val="solid"/>
                  <w14:bevel/>
                </w14:textOutline>
              </w:rPr>
              <w:t>期</w:t>
            </w:r>
          </w:p>
        </w:tc>
        <w:tc>
          <w:tcPr>
            <w:tcW w:w="657" w:type="dxa"/>
            <w:textDirection w:val="tbRlV"/>
            <w:vAlign w:val="top"/>
          </w:tcPr>
          <w:p>
            <w:pPr>
              <w:pStyle w:val="6"/>
              <w:spacing w:before="206" w:line="207" w:lineRule="auto"/>
              <w:ind w:left="743"/>
            </w:pPr>
            <w:r>
              <w:rPr>
                <w:spacing w:val="34"/>
                <w14:textOutline w14:w="4358" w14:cap="sq" w14:cmpd="sng">
                  <w14:solidFill>
                    <w14:srgbClr w14:val="000000"/>
                  </w14:solidFill>
                  <w14:prstDash w14:val="solid"/>
                  <w14:bevel/>
                </w14:textOutline>
              </w:rPr>
              <w:t>学历</w:t>
            </w:r>
          </w:p>
        </w:tc>
        <w:tc>
          <w:tcPr>
            <w:tcW w:w="722" w:type="dxa"/>
            <w:vAlign w:val="top"/>
          </w:tcPr>
          <w:p>
            <w:pPr>
              <w:spacing w:line="253" w:lineRule="auto"/>
              <w:rPr>
                <w:rFonts w:ascii="Arial"/>
                <w:sz w:val="21"/>
              </w:rPr>
            </w:pPr>
          </w:p>
          <w:p>
            <w:pPr>
              <w:spacing w:line="254" w:lineRule="auto"/>
              <w:rPr>
                <w:rFonts w:ascii="Arial"/>
                <w:sz w:val="21"/>
              </w:rPr>
            </w:pPr>
          </w:p>
          <w:p>
            <w:pPr>
              <w:pStyle w:val="6"/>
              <w:spacing w:before="78" w:line="221" w:lineRule="auto"/>
              <w:ind w:left="127"/>
            </w:pPr>
            <w:r>
              <w:rPr>
                <w:spacing w:val="-6"/>
                <w14:textOutline w14:w="4358" w14:cap="sq" w14:cmpd="sng">
                  <w14:solidFill>
                    <w14:srgbClr w14:val="000000"/>
                  </w14:solidFill>
                  <w14:prstDash w14:val="solid"/>
                  <w14:bevel/>
                </w14:textOutline>
              </w:rPr>
              <w:t>职称</w:t>
            </w:r>
          </w:p>
          <w:p>
            <w:pPr>
              <w:pStyle w:val="6"/>
              <w:spacing w:before="21" w:line="223" w:lineRule="auto"/>
              <w:ind w:left="185"/>
            </w:pPr>
            <w:r>
              <w:rPr>
                <w:spacing w:val="-5"/>
                <w14:textOutline w14:w="4358" w14:cap="sq" w14:cmpd="sng">
                  <w14:solidFill>
                    <w14:srgbClr w14:val="000000"/>
                  </w14:solidFill>
                  <w14:prstDash w14:val="solid"/>
                  <w14:bevel/>
                </w14:textOutline>
              </w:rPr>
              <w:t>/职</w:t>
            </w:r>
          </w:p>
          <w:p>
            <w:pPr>
              <w:pStyle w:val="6"/>
              <w:spacing w:before="22" w:line="219" w:lineRule="auto"/>
              <w:ind w:left="248"/>
            </w:pPr>
            <w:r>
              <w:rPr>
                <w14:textOutline w14:w="4358" w14:cap="sq" w14:cmpd="sng">
                  <w14:solidFill>
                    <w14:srgbClr w14:val="000000"/>
                  </w14:solidFill>
                  <w14:prstDash w14:val="solid"/>
                  <w14:bevel/>
                </w14:textOutline>
              </w:rPr>
              <w:t>务</w:t>
            </w:r>
          </w:p>
        </w:tc>
        <w:tc>
          <w:tcPr>
            <w:tcW w:w="550" w:type="dxa"/>
            <w:textDirection w:val="tbRlV"/>
            <w:vAlign w:val="top"/>
          </w:tcPr>
          <w:p>
            <w:pPr>
              <w:pStyle w:val="6"/>
              <w:spacing w:before="152" w:line="209" w:lineRule="auto"/>
              <w:ind w:left="431"/>
            </w:pPr>
            <w:r>
              <w:rPr>
                <w:spacing w:val="-1"/>
                <w14:textOutline w14:w="4358" w14:cap="sq" w14:cmpd="sng">
                  <w14:solidFill>
                    <w14:srgbClr w14:val="000000"/>
                  </w14:solidFill>
                  <w14:prstDash w14:val="solid"/>
                  <w14:bevel/>
                </w14:textOutline>
              </w:rPr>
              <w:t>所</w:t>
            </w:r>
            <w:r>
              <w:rPr>
                <w:spacing w:val="-46"/>
              </w:rPr>
              <w:t xml:space="preserve"> </w:t>
            </w:r>
            <w:r>
              <w:rPr>
                <w:spacing w:val="-1"/>
                <w14:textOutline w14:w="4358" w14:cap="sq" w14:cmpd="sng">
                  <w14:solidFill>
                    <w14:srgbClr w14:val="000000"/>
                  </w14:solidFill>
                  <w14:prstDash w14:val="solid"/>
                  <w14:bevel/>
                </w14:textOutline>
              </w:rPr>
              <w:t>在</w:t>
            </w:r>
            <w:r>
              <w:rPr>
                <w:spacing w:val="-50"/>
              </w:rPr>
              <w:t xml:space="preserve"> </w:t>
            </w:r>
            <w:r>
              <w:rPr>
                <w:spacing w:val="-1"/>
                <w14:textOutline w14:w="4358" w14:cap="sq" w14:cmpd="sng">
                  <w14:solidFill>
                    <w14:srgbClr w14:val="000000"/>
                  </w14:solidFill>
                  <w14:prstDash w14:val="solid"/>
                  <w14:bevel/>
                </w14:textOutline>
              </w:rPr>
              <w:t>省</w:t>
            </w:r>
            <w:r>
              <w:rPr>
                <w:spacing w:val="-48"/>
              </w:rPr>
              <w:t xml:space="preserve"> </w:t>
            </w:r>
            <w:r>
              <w:rPr>
                <w:spacing w:val="-1"/>
                <w14:textOutline w14:w="4358" w14:cap="sq" w14:cmpd="sng">
                  <w14:solidFill>
                    <w14:srgbClr w14:val="000000"/>
                  </w14:solidFill>
                  <w14:prstDash w14:val="solid"/>
                  <w14:bevel/>
                </w14:textOutline>
              </w:rPr>
              <w:t>市</w:t>
            </w:r>
          </w:p>
        </w:tc>
        <w:tc>
          <w:tcPr>
            <w:tcW w:w="732" w:type="dxa"/>
            <w:vAlign w:val="top"/>
          </w:tcPr>
          <w:p>
            <w:pPr>
              <w:spacing w:line="331" w:lineRule="auto"/>
              <w:rPr>
                <w:rFonts w:ascii="Arial"/>
                <w:sz w:val="21"/>
              </w:rPr>
            </w:pPr>
          </w:p>
          <w:p>
            <w:pPr>
              <w:spacing w:line="331" w:lineRule="auto"/>
              <w:rPr>
                <w:rFonts w:ascii="Arial"/>
                <w:sz w:val="21"/>
              </w:rPr>
            </w:pPr>
          </w:p>
          <w:p>
            <w:pPr>
              <w:pStyle w:val="6"/>
              <w:spacing w:before="78" w:line="229" w:lineRule="auto"/>
              <w:ind w:left="135" w:right="124" w:hanging="4"/>
            </w:pPr>
            <w:r>
              <w:rPr>
                <w:spacing w:val="-5"/>
                <w14:textOutline w14:w="4358" w14:cap="sq" w14:cmpd="sng">
                  <w14:solidFill>
                    <w14:srgbClr w14:val="000000"/>
                  </w14:solidFill>
                  <w14:prstDash w14:val="solid"/>
                  <w14:bevel/>
                </w14:textOutline>
              </w:rPr>
              <w:t>所属</w:t>
            </w:r>
            <w:r>
              <w:t xml:space="preserve"> </w:t>
            </w:r>
            <w:r>
              <w:rPr>
                <w:spacing w:val="-8"/>
                <w14:textOutline w14:w="4358" w14:cap="sq" w14:cmpd="sng">
                  <w14:solidFill>
                    <w14:srgbClr w14:val="000000"/>
                  </w14:solidFill>
                  <w14:prstDash w14:val="solid"/>
                  <w14:bevel/>
                </w14:textOutline>
              </w:rPr>
              <w:t>系统</w:t>
            </w:r>
          </w:p>
        </w:tc>
        <w:tc>
          <w:tcPr>
            <w:tcW w:w="706" w:type="dxa"/>
            <w:vAlign w:val="top"/>
          </w:tcPr>
          <w:p>
            <w:pPr>
              <w:spacing w:line="331" w:lineRule="auto"/>
              <w:rPr>
                <w:rFonts w:ascii="Arial"/>
                <w:sz w:val="21"/>
              </w:rPr>
            </w:pPr>
          </w:p>
          <w:p>
            <w:pPr>
              <w:spacing w:line="331" w:lineRule="auto"/>
              <w:rPr>
                <w:rFonts w:ascii="Arial"/>
                <w:sz w:val="21"/>
              </w:rPr>
            </w:pPr>
          </w:p>
          <w:p>
            <w:pPr>
              <w:pStyle w:val="6"/>
              <w:spacing w:before="78" w:line="233" w:lineRule="auto"/>
              <w:ind w:left="119" w:right="110"/>
            </w:pPr>
            <w:r>
              <w:rPr>
                <w:spacing w:val="-5"/>
                <w14:textOutline w14:w="4358" w14:cap="sq" w14:cmpd="sng">
                  <w14:solidFill>
                    <w14:srgbClr w14:val="000000"/>
                  </w14:solidFill>
                  <w14:prstDash w14:val="solid"/>
                  <w14:bevel/>
                </w14:textOutline>
              </w:rPr>
              <w:t>通讯</w:t>
            </w:r>
            <w:r>
              <w:t xml:space="preserve"> </w:t>
            </w:r>
            <w:r>
              <w:rPr>
                <w:spacing w:val="-5"/>
                <w14:textOutline w14:w="4358" w14:cap="sq" w14:cmpd="sng">
                  <w14:solidFill>
                    <w14:srgbClr w14:val="000000"/>
                  </w14:solidFill>
                  <w14:prstDash w14:val="solid"/>
                  <w14:bevel/>
                </w14:textOutline>
              </w:rPr>
              <w:t>地址</w:t>
            </w:r>
          </w:p>
        </w:tc>
        <w:tc>
          <w:tcPr>
            <w:tcW w:w="726" w:type="dxa"/>
            <w:vAlign w:val="top"/>
          </w:tcPr>
          <w:p>
            <w:pPr>
              <w:spacing w:line="330" w:lineRule="auto"/>
              <w:rPr>
                <w:rFonts w:ascii="Arial"/>
                <w:sz w:val="21"/>
              </w:rPr>
            </w:pPr>
          </w:p>
          <w:p>
            <w:pPr>
              <w:spacing w:line="331" w:lineRule="auto"/>
              <w:rPr>
                <w:rFonts w:ascii="Arial"/>
                <w:sz w:val="21"/>
              </w:rPr>
            </w:pPr>
          </w:p>
          <w:p>
            <w:pPr>
              <w:pStyle w:val="6"/>
              <w:spacing w:before="78" w:line="229" w:lineRule="auto"/>
              <w:ind w:left="130" w:right="121" w:firstLine="15"/>
            </w:pPr>
            <w:r>
              <w:rPr>
                <w:spacing w:val="-14"/>
                <w14:textOutline w14:w="4358" w14:cap="sq" w14:cmpd="sng">
                  <w14:solidFill>
                    <w14:srgbClr w14:val="000000"/>
                  </w14:solidFill>
                  <w14:prstDash w14:val="solid"/>
                  <w14:bevel/>
                </w14:textOutline>
              </w:rPr>
              <w:t>邮政</w:t>
            </w:r>
            <w:r>
              <w:t xml:space="preserve"> </w:t>
            </w:r>
            <w:r>
              <w:rPr>
                <w:spacing w:val="-6"/>
                <w14:textOutline w14:w="4358" w14:cap="sq" w14:cmpd="sng">
                  <w14:solidFill>
                    <w14:srgbClr w14:val="000000"/>
                  </w14:solidFill>
                  <w14:prstDash w14:val="solid"/>
                  <w14:bevel/>
                </w14:textOutline>
              </w:rPr>
              <w:t>编码</w:t>
            </w:r>
          </w:p>
        </w:tc>
        <w:tc>
          <w:tcPr>
            <w:tcW w:w="676" w:type="dxa"/>
            <w:textDirection w:val="tbRlV"/>
            <w:vAlign w:val="top"/>
          </w:tcPr>
          <w:p>
            <w:pPr>
              <w:pStyle w:val="6"/>
              <w:spacing w:before="214" w:line="210" w:lineRule="auto"/>
              <w:ind w:left="431"/>
            </w:pPr>
            <w:r>
              <w:rPr>
                <w:spacing w:val="-1"/>
                <w14:textOutline w14:w="4358" w14:cap="sq" w14:cmpd="sng">
                  <w14:solidFill>
                    <w14:srgbClr w14:val="000000"/>
                  </w14:solidFill>
                  <w14:prstDash w14:val="solid"/>
                  <w14:bevel/>
                </w14:textOutline>
              </w:rPr>
              <w:t>联</w:t>
            </w:r>
            <w:r>
              <w:rPr>
                <w:spacing w:val="-46"/>
              </w:rPr>
              <w:t xml:space="preserve"> </w:t>
            </w:r>
            <w:r>
              <w:rPr>
                <w:spacing w:val="-1"/>
                <w14:textOutline w14:w="4358" w14:cap="sq" w14:cmpd="sng">
                  <w14:solidFill>
                    <w14:srgbClr w14:val="000000"/>
                  </w14:solidFill>
                  <w14:prstDash w14:val="solid"/>
                  <w14:bevel/>
                </w14:textOutline>
              </w:rPr>
              <w:t>系</w:t>
            </w:r>
            <w:r>
              <w:rPr>
                <w:spacing w:val="-50"/>
              </w:rPr>
              <w:t xml:space="preserve"> </w:t>
            </w:r>
            <w:r>
              <w:rPr>
                <w:spacing w:val="-1"/>
                <w14:textOutline w14:w="4358" w14:cap="sq" w14:cmpd="sng">
                  <w14:solidFill>
                    <w14:srgbClr w14:val="000000"/>
                  </w14:solidFill>
                  <w14:prstDash w14:val="solid"/>
                  <w14:bevel/>
                </w14:textOutline>
              </w:rPr>
              <w:t>电</w:t>
            </w:r>
            <w:r>
              <w:rPr>
                <w:spacing w:val="-48"/>
              </w:rPr>
              <w:t xml:space="preserve"> </w:t>
            </w:r>
            <w:r>
              <w:rPr>
                <w:spacing w:val="-1"/>
                <w14:textOutline w14:w="4358" w14:cap="sq" w14:cmpd="sng">
                  <w14:solidFill>
                    <w14:srgbClr w14:val="000000"/>
                  </w14:solidFill>
                  <w14:prstDash w14:val="solid"/>
                  <w14:bevel/>
                </w14:textOutline>
              </w:rPr>
              <w:t>话</w:t>
            </w:r>
          </w:p>
        </w:tc>
        <w:tc>
          <w:tcPr>
            <w:tcW w:w="691" w:type="dxa"/>
            <w:textDirection w:val="tbRlV"/>
            <w:vAlign w:val="top"/>
          </w:tcPr>
          <w:p>
            <w:pPr>
              <w:pStyle w:val="6"/>
              <w:spacing w:before="220" w:line="208" w:lineRule="auto"/>
              <w:ind w:left="431"/>
            </w:pPr>
            <w:r>
              <w:rPr>
                <w:spacing w:val="-1"/>
                <w14:textOutline w14:w="4358" w14:cap="sq" w14:cmpd="sng">
                  <w14:solidFill>
                    <w14:srgbClr w14:val="000000"/>
                  </w14:solidFill>
                  <w14:prstDash w14:val="solid"/>
                  <w14:bevel/>
                </w14:textOutline>
              </w:rPr>
              <w:t>电</w:t>
            </w:r>
            <w:r>
              <w:rPr>
                <w:spacing w:val="-46"/>
              </w:rPr>
              <w:t xml:space="preserve"> </w:t>
            </w:r>
            <w:r>
              <w:rPr>
                <w:spacing w:val="-1"/>
                <w14:textOutline w14:w="4358" w14:cap="sq" w14:cmpd="sng">
                  <w14:solidFill>
                    <w14:srgbClr w14:val="000000"/>
                  </w14:solidFill>
                  <w14:prstDash w14:val="solid"/>
                  <w14:bevel/>
                </w14:textOutline>
              </w:rPr>
              <w:t>子</w:t>
            </w:r>
            <w:r>
              <w:rPr>
                <w:spacing w:val="-50"/>
              </w:rPr>
              <w:t xml:space="preserve"> </w:t>
            </w:r>
            <w:r>
              <w:rPr>
                <w:spacing w:val="-1"/>
                <w14:textOutline w14:w="4358" w14:cap="sq" w14:cmpd="sng">
                  <w14:solidFill>
                    <w14:srgbClr w14:val="000000"/>
                  </w14:solidFill>
                  <w14:prstDash w14:val="solid"/>
                  <w14:bevel/>
                </w14:textOutline>
              </w:rPr>
              <w:t>信</w:t>
            </w:r>
            <w:r>
              <w:rPr>
                <w:spacing w:val="-48"/>
              </w:rPr>
              <w:t xml:space="preserve"> </w:t>
            </w:r>
            <w:r>
              <w:rPr>
                <w:spacing w:val="-1"/>
                <w14:textOutline w14:w="4358" w14:cap="sq" w14:cmpd="sng">
                  <w14:solidFill>
                    <w14:srgbClr w14:val="000000"/>
                  </w14:solidFill>
                  <w14:prstDash w14:val="solid"/>
                  <w14:bevel/>
                </w14:textOutline>
              </w:rPr>
              <w:t>箱</w:t>
            </w:r>
          </w:p>
        </w:tc>
        <w:tc>
          <w:tcPr>
            <w:tcW w:w="691" w:type="dxa"/>
            <w:textDirection w:val="tbRlV"/>
            <w:vAlign w:val="top"/>
          </w:tcPr>
          <w:p>
            <w:pPr>
              <w:pStyle w:val="6"/>
              <w:spacing w:before="222" w:line="209" w:lineRule="auto"/>
              <w:ind w:left="119"/>
            </w:pPr>
            <w:r>
              <w:rPr>
                <w:spacing w:val="59"/>
                <w14:textOutline w14:w="4358" w14:cap="sq" w14:cmpd="sng">
                  <w14:solidFill>
                    <w14:srgbClr w14:val="000000"/>
                  </w14:solidFill>
                  <w14:prstDash w14:val="solid"/>
                  <w14:bevel/>
                </w14:textOutline>
              </w:rPr>
              <w:t>身份证件号码</w:t>
            </w:r>
          </w:p>
        </w:tc>
        <w:tc>
          <w:tcPr>
            <w:tcW w:w="691" w:type="dxa"/>
            <w:textDirection w:val="tbRlV"/>
            <w:vAlign w:val="top"/>
          </w:tcPr>
          <w:p>
            <w:pPr>
              <w:pStyle w:val="6"/>
              <w:spacing w:before="223" w:line="206" w:lineRule="auto"/>
              <w:ind w:left="431"/>
            </w:pPr>
            <w:r>
              <w:rPr>
                <w:spacing w:val="-1"/>
                <w14:textOutline w14:w="4358" w14:cap="sq" w14:cmpd="sng">
                  <w14:solidFill>
                    <w14:srgbClr w14:val="000000"/>
                  </w14:solidFill>
                  <w14:prstDash w14:val="solid"/>
                  <w14:bevel/>
                </w14:textOutline>
              </w:rPr>
              <w:t>预</w:t>
            </w:r>
            <w:r>
              <w:rPr>
                <w:spacing w:val="-46"/>
              </w:rPr>
              <w:t xml:space="preserve"> </w:t>
            </w:r>
            <w:r>
              <w:rPr>
                <w:spacing w:val="-1"/>
                <w14:textOutline w14:w="4358" w14:cap="sq" w14:cmpd="sng">
                  <w14:solidFill>
                    <w14:srgbClr w14:val="000000"/>
                  </w14:solidFill>
                  <w14:prstDash w14:val="solid"/>
                  <w14:bevel/>
                </w14:textOutline>
              </w:rPr>
              <w:t>期</w:t>
            </w:r>
            <w:r>
              <w:rPr>
                <w:spacing w:val="-50"/>
              </w:rPr>
              <w:t xml:space="preserve"> </w:t>
            </w:r>
            <w:r>
              <w:rPr>
                <w:spacing w:val="-1"/>
                <w14:textOutline w14:w="4358" w14:cap="sq" w14:cmpd="sng">
                  <w14:solidFill>
                    <w14:srgbClr w14:val="000000"/>
                  </w14:solidFill>
                  <w14:prstDash w14:val="solid"/>
                  <w14:bevel/>
                </w14:textOutline>
              </w:rPr>
              <w:t>成</w:t>
            </w:r>
            <w:r>
              <w:rPr>
                <w:spacing w:val="-48"/>
              </w:rPr>
              <w:t xml:space="preserve"> </w:t>
            </w:r>
            <w:r>
              <w:rPr>
                <w:spacing w:val="-1"/>
                <w14:textOutline w14:w="4358" w14:cap="sq" w14:cmpd="sng">
                  <w14:solidFill>
                    <w14:srgbClr w14:val="000000"/>
                  </w14:solidFill>
                  <w14:prstDash w14:val="solid"/>
                  <w14:bevel/>
                </w14:textOutline>
              </w:rPr>
              <w:t>果</w:t>
            </w:r>
          </w:p>
        </w:tc>
        <w:tc>
          <w:tcPr>
            <w:tcW w:w="635" w:type="dxa"/>
            <w:textDirection w:val="tbRlV"/>
            <w:vAlign w:val="top"/>
          </w:tcPr>
          <w:p>
            <w:pPr>
              <w:pStyle w:val="6"/>
              <w:spacing w:before="192" w:line="209" w:lineRule="auto"/>
              <w:ind w:left="119"/>
            </w:pPr>
            <w:r>
              <w:rPr>
                <w:spacing w:val="59"/>
                <w14:textOutline w14:w="4358" w14:cap="sq" w14:cmpd="sng">
                  <w14:solidFill>
                    <w14:srgbClr w14:val="000000"/>
                  </w14:solidFill>
                  <w14:prstDash w14:val="solid"/>
                  <w14:bevel/>
                </w14:textOutline>
              </w:rPr>
              <w:t>计划完成时间</w:t>
            </w:r>
          </w:p>
        </w:tc>
        <w:tc>
          <w:tcPr>
            <w:tcW w:w="738" w:type="dxa"/>
            <w:vAlign w:val="top"/>
          </w:tcPr>
          <w:p>
            <w:pPr>
              <w:spacing w:line="351" w:lineRule="auto"/>
              <w:rPr>
                <w:rFonts w:ascii="Arial"/>
                <w:sz w:val="21"/>
              </w:rPr>
            </w:pPr>
          </w:p>
          <w:p>
            <w:pPr>
              <w:pStyle w:val="6"/>
              <w:spacing w:before="78" w:line="235" w:lineRule="auto"/>
              <w:ind w:left="136" w:right="127"/>
              <w:jc w:val="both"/>
            </w:pPr>
            <w:r>
              <w:rPr>
                <w:spacing w:val="-6"/>
                <w14:textOutline w14:w="4358" w14:cap="sq" w14:cmpd="sng">
                  <w14:solidFill>
                    <w14:srgbClr w14:val="000000"/>
                  </w14:solidFill>
                  <w14:prstDash w14:val="solid"/>
                  <w14:bevel/>
                </w14:textOutline>
              </w:rPr>
              <w:t>经费</w:t>
            </w:r>
            <w:r>
              <w:t xml:space="preserve"> </w:t>
            </w:r>
            <w:r>
              <w:rPr>
                <w:spacing w:val="-6"/>
                <w14:textOutline w14:w="4358" w14:cap="sq" w14:cmpd="sng">
                  <w14:solidFill>
                    <w14:srgbClr w14:val="000000"/>
                  </w14:solidFill>
                  <w14:prstDash w14:val="solid"/>
                  <w14:bevel/>
                </w14:textOutline>
              </w:rPr>
              <w:t>管理</w:t>
            </w:r>
            <w:r>
              <w:t xml:space="preserve"> </w:t>
            </w:r>
            <w:r>
              <w:rPr>
                <w:spacing w:val="-6"/>
                <w14:textOutline w14:w="4358" w14:cap="sq" w14:cmpd="sng">
                  <w14:solidFill>
                    <w14:srgbClr w14:val="000000"/>
                  </w14:solidFill>
                  <w14:prstDash w14:val="solid"/>
                  <w14:bevel/>
                </w14:textOutline>
              </w:rPr>
              <w:t>单位</w:t>
            </w:r>
            <w:r>
              <w:t xml:space="preserve"> </w:t>
            </w:r>
            <w:r>
              <w:rPr>
                <w:spacing w:val="-6"/>
                <w14:textOutline w14:w="4358" w14:cap="sq" w14:cmpd="sng">
                  <w14:solidFill>
                    <w14:srgbClr w14:val="000000"/>
                  </w14:solidFill>
                  <w14:prstDash w14:val="solid"/>
                  <w14:bevel/>
                </w14:textOutline>
              </w:rPr>
              <w:t>名称</w:t>
            </w:r>
          </w:p>
        </w:tc>
        <w:tc>
          <w:tcPr>
            <w:tcW w:w="593" w:type="dxa"/>
            <w:textDirection w:val="tbRlV"/>
            <w:vAlign w:val="top"/>
          </w:tcPr>
          <w:p>
            <w:pPr>
              <w:pStyle w:val="6"/>
              <w:spacing w:before="172" w:line="208" w:lineRule="auto"/>
              <w:ind w:left="431"/>
            </w:pPr>
            <w:r>
              <w:rPr>
                <w:spacing w:val="-1"/>
                <w14:textOutline w14:w="4358" w14:cap="sq" w14:cmpd="sng">
                  <w14:solidFill>
                    <w14:srgbClr w14:val="000000"/>
                  </w14:solidFill>
                  <w14:prstDash w14:val="solid"/>
                  <w14:bevel/>
                </w14:textOutline>
              </w:rPr>
              <w:t>开</w:t>
            </w:r>
            <w:r>
              <w:rPr>
                <w:spacing w:val="-46"/>
              </w:rPr>
              <w:t xml:space="preserve"> </w:t>
            </w:r>
            <w:r>
              <w:rPr>
                <w:spacing w:val="-1"/>
                <w14:textOutline w14:w="4358" w14:cap="sq" w14:cmpd="sng">
                  <w14:solidFill>
                    <w14:srgbClr w14:val="000000"/>
                  </w14:solidFill>
                  <w14:prstDash w14:val="solid"/>
                  <w14:bevel/>
                </w14:textOutline>
              </w:rPr>
              <w:t>户</w:t>
            </w:r>
            <w:r>
              <w:rPr>
                <w:spacing w:val="-50"/>
              </w:rPr>
              <w:t xml:space="preserve"> </w:t>
            </w:r>
            <w:r>
              <w:rPr>
                <w:spacing w:val="-1"/>
                <w14:textOutline w14:w="4358" w14:cap="sq" w14:cmpd="sng">
                  <w14:solidFill>
                    <w14:srgbClr w14:val="000000"/>
                  </w14:solidFill>
                  <w14:prstDash w14:val="solid"/>
                  <w14:bevel/>
                </w14:textOutline>
              </w:rPr>
              <w:t>银</w:t>
            </w:r>
            <w:r>
              <w:rPr>
                <w:spacing w:val="-48"/>
              </w:rPr>
              <w:t xml:space="preserve"> </w:t>
            </w:r>
            <w:r>
              <w:rPr>
                <w:spacing w:val="-1"/>
                <w14:textOutline w14:w="4358" w14:cap="sq" w14:cmpd="sng">
                  <w14:solidFill>
                    <w14:srgbClr w14:val="000000"/>
                  </w14:solidFill>
                  <w14:prstDash w14:val="solid"/>
                  <w14:bevel/>
                </w14:textOutline>
              </w:rPr>
              <w:t>行</w:t>
            </w:r>
          </w:p>
        </w:tc>
        <w:tc>
          <w:tcPr>
            <w:tcW w:w="738" w:type="dxa"/>
            <w:vAlign w:val="top"/>
          </w:tcPr>
          <w:p>
            <w:pPr>
              <w:spacing w:line="331" w:lineRule="auto"/>
              <w:rPr>
                <w:rFonts w:ascii="Arial"/>
                <w:sz w:val="21"/>
              </w:rPr>
            </w:pPr>
          </w:p>
          <w:p>
            <w:pPr>
              <w:spacing w:line="331" w:lineRule="auto"/>
              <w:rPr>
                <w:rFonts w:ascii="Arial"/>
                <w:sz w:val="21"/>
              </w:rPr>
            </w:pPr>
          </w:p>
          <w:p>
            <w:pPr>
              <w:pStyle w:val="6"/>
              <w:spacing w:before="78" w:line="229" w:lineRule="auto"/>
              <w:ind w:left="138" w:right="126" w:hanging="2"/>
            </w:pPr>
            <w:r>
              <w:rPr>
                <w:spacing w:val="-6"/>
                <w14:textOutline w14:w="4358" w14:cap="sq" w14:cmpd="sng">
                  <w14:solidFill>
                    <w14:srgbClr w14:val="000000"/>
                  </w14:solidFill>
                  <w14:prstDash w14:val="solid"/>
                  <w14:bevel/>
                </w14:textOutline>
              </w:rPr>
              <w:t>银行</w:t>
            </w:r>
            <w:r>
              <w:t xml:space="preserve"> </w:t>
            </w:r>
            <w:r>
              <w:rPr>
                <w:spacing w:val="-7"/>
                <w14:textOutline w14:w="4358" w14:cap="sq" w14:cmpd="sng">
                  <w14:solidFill>
                    <w14:srgbClr w14:val="000000"/>
                  </w14:solidFill>
                  <w14:prstDash w14:val="solid"/>
                  <w14:bevel/>
                </w14:textOutli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6" w:hRule="atLeast"/>
        </w:trPr>
        <w:tc>
          <w:tcPr>
            <w:tcW w:w="568" w:type="dxa"/>
            <w:vAlign w:val="top"/>
          </w:tcPr>
          <w:p>
            <w:pPr>
              <w:rPr>
                <w:rFonts w:ascii="Arial"/>
                <w:sz w:val="21"/>
              </w:rPr>
            </w:pPr>
          </w:p>
        </w:tc>
        <w:tc>
          <w:tcPr>
            <w:tcW w:w="540" w:type="dxa"/>
            <w:vAlign w:val="top"/>
          </w:tcPr>
          <w:p>
            <w:pPr>
              <w:rPr>
                <w:rFonts w:ascii="Arial"/>
                <w:sz w:val="21"/>
              </w:rPr>
            </w:pPr>
          </w:p>
        </w:tc>
        <w:tc>
          <w:tcPr>
            <w:tcW w:w="796" w:type="dxa"/>
            <w:vAlign w:val="top"/>
          </w:tcPr>
          <w:p>
            <w:pPr>
              <w:rPr>
                <w:rFonts w:ascii="Arial"/>
                <w:sz w:val="21"/>
              </w:rPr>
            </w:pPr>
          </w:p>
        </w:tc>
        <w:tc>
          <w:tcPr>
            <w:tcW w:w="564" w:type="dxa"/>
            <w:vAlign w:val="top"/>
          </w:tcPr>
          <w:p>
            <w:pPr>
              <w:rPr>
                <w:rFonts w:ascii="Arial"/>
                <w:sz w:val="21"/>
              </w:rPr>
            </w:pPr>
          </w:p>
        </w:tc>
        <w:tc>
          <w:tcPr>
            <w:tcW w:w="664" w:type="dxa"/>
            <w:vAlign w:val="top"/>
          </w:tcPr>
          <w:p>
            <w:pPr>
              <w:rPr>
                <w:rFonts w:ascii="Arial"/>
                <w:sz w:val="21"/>
              </w:rPr>
            </w:pPr>
          </w:p>
        </w:tc>
        <w:tc>
          <w:tcPr>
            <w:tcW w:w="738" w:type="dxa"/>
            <w:vAlign w:val="top"/>
          </w:tcPr>
          <w:p>
            <w:pPr>
              <w:rPr>
                <w:rFonts w:ascii="Arial"/>
                <w:sz w:val="21"/>
              </w:rPr>
            </w:pPr>
          </w:p>
        </w:tc>
        <w:tc>
          <w:tcPr>
            <w:tcW w:w="664" w:type="dxa"/>
            <w:vAlign w:val="top"/>
          </w:tcPr>
          <w:p>
            <w:pPr>
              <w:rPr>
                <w:rFonts w:ascii="Arial"/>
                <w:sz w:val="21"/>
              </w:rPr>
            </w:pPr>
          </w:p>
        </w:tc>
        <w:tc>
          <w:tcPr>
            <w:tcW w:w="664" w:type="dxa"/>
            <w:vAlign w:val="top"/>
          </w:tcPr>
          <w:p>
            <w:pPr>
              <w:rPr>
                <w:rFonts w:ascii="Arial"/>
                <w:sz w:val="21"/>
              </w:rPr>
            </w:pPr>
          </w:p>
        </w:tc>
        <w:tc>
          <w:tcPr>
            <w:tcW w:w="657" w:type="dxa"/>
            <w:vAlign w:val="top"/>
          </w:tcPr>
          <w:p>
            <w:pPr>
              <w:rPr>
                <w:rFonts w:ascii="Arial"/>
                <w:sz w:val="21"/>
              </w:rPr>
            </w:pPr>
          </w:p>
        </w:tc>
        <w:tc>
          <w:tcPr>
            <w:tcW w:w="722" w:type="dxa"/>
            <w:vAlign w:val="top"/>
          </w:tcPr>
          <w:p>
            <w:pPr>
              <w:rPr>
                <w:rFonts w:ascii="Arial"/>
                <w:sz w:val="21"/>
              </w:rPr>
            </w:pPr>
          </w:p>
        </w:tc>
        <w:tc>
          <w:tcPr>
            <w:tcW w:w="550" w:type="dxa"/>
            <w:vAlign w:val="top"/>
          </w:tcPr>
          <w:p>
            <w:pPr>
              <w:rPr>
                <w:rFonts w:ascii="Arial"/>
                <w:sz w:val="21"/>
              </w:rPr>
            </w:pPr>
          </w:p>
        </w:tc>
        <w:tc>
          <w:tcPr>
            <w:tcW w:w="732" w:type="dxa"/>
            <w:vAlign w:val="top"/>
          </w:tcPr>
          <w:p>
            <w:pPr>
              <w:rPr>
                <w:rFonts w:ascii="Arial"/>
                <w:sz w:val="21"/>
              </w:rPr>
            </w:pPr>
          </w:p>
        </w:tc>
        <w:tc>
          <w:tcPr>
            <w:tcW w:w="706" w:type="dxa"/>
            <w:vAlign w:val="top"/>
          </w:tcPr>
          <w:p>
            <w:pPr>
              <w:rPr>
                <w:rFonts w:ascii="Arial"/>
                <w:sz w:val="21"/>
              </w:rPr>
            </w:pPr>
          </w:p>
        </w:tc>
        <w:tc>
          <w:tcPr>
            <w:tcW w:w="726" w:type="dxa"/>
            <w:vAlign w:val="top"/>
          </w:tcPr>
          <w:p>
            <w:pPr>
              <w:rPr>
                <w:rFonts w:ascii="Arial"/>
                <w:sz w:val="21"/>
              </w:rPr>
            </w:pPr>
          </w:p>
        </w:tc>
        <w:tc>
          <w:tcPr>
            <w:tcW w:w="676" w:type="dxa"/>
            <w:vAlign w:val="top"/>
          </w:tcPr>
          <w:p>
            <w:pPr>
              <w:rPr>
                <w:rFonts w:ascii="Arial"/>
                <w:sz w:val="21"/>
              </w:rPr>
            </w:pPr>
          </w:p>
        </w:tc>
        <w:tc>
          <w:tcPr>
            <w:tcW w:w="691" w:type="dxa"/>
            <w:vAlign w:val="top"/>
          </w:tcPr>
          <w:p>
            <w:pPr>
              <w:rPr>
                <w:rFonts w:ascii="Arial"/>
                <w:sz w:val="21"/>
              </w:rPr>
            </w:pPr>
          </w:p>
        </w:tc>
        <w:tc>
          <w:tcPr>
            <w:tcW w:w="691" w:type="dxa"/>
            <w:vAlign w:val="top"/>
          </w:tcPr>
          <w:p>
            <w:pPr>
              <w:rPr>
                <w:rFonts w:ascii="Arial"/>
                <w:sz w:val="21"/>
              </w:rPr>
            </w:pPr>
          </w:p>
        </w:tc>
        <w:tc>
          <w:tcPr>
            <w:tcW w:w="691" w:type="dxa"/>
            <w:vAlign w:val="top"/>
          </w:tcPr>
          <w:p>
            <w:pPr>
              <w:rPr>
                <w:rFonts w:ascii="Arial"/>
                <w:sz w:val="21"/>
              </w:rPr>
            </w:pPr>
          </w:p>
        </w:tc>
        <w:tc>
          <w:tcPr>
            <w:tcW w:w="635" w:type="dxa"/>
            <w:vAlign w:val="top"/>
          </w:tcPr>
          <w:p>
            <w:pPr>
              <w:rPr>
                <w:rFonts w:ascii="Arial"/>
                <w:sz w:val="21"/>
              </w:rPr>
            </w:pPr>
          </w:p>
        </w:tc>
        <w:tc>
          <w:tcPr>
            <w:tcW w:w="738" w:type="dxa"/>
            <w:vAlign w:val="top"/>
          </w:tcPr>
          <w:p>
            <w:pPr>
              <w:rPr>
                <w:rFonts w:ascii="Arial"/>
                <w:sz w:val="21"/>
              </w:rPr>
            </w:pPr>
          </w:p>
        </w:tc>
        <w:tc>
          <w:tcPr>
            <w:tcW w:w="593" w:type="dxa"/>
            <w:vAlign w:val="top"/>
          </w:tcPr>
          <w:p>
            <w:pPr>
              <w:rPr>
                <w:rFonts w:ascii="Arial"/>
                <w:sz w:val="21"/>
              </w:rPr>
            </w:pPr>
          </w:p>
        </w:tc>
        <w:tc>
          <w:tcPr>
            <w:tcW w:w="738" w:type="dxa"/>
            <w:vAlign w:val="top"/>
          </w:tcPr>
          <w:p>
            <w:pPr>
              <w:rPr>
                <w:rFonts w:ascii="Arial"/>
                <w:sz w:val="21"/>
              </w:rPr>
            </w:pPr>
          </w:p>
        </w:tc>
      </w:tr>
    </w:tbl>
    <w:p>
      <w:pPr>
        <w:rPr>
          <w:rFonts w:ascii="Arial"/>
          <w:sz w:val="21"/>
        </w:rPr>
      </w:pPr>
    </w:p>
    <w:sectPr>
      <w:footerReference r:id="rId20" w:type="default"/>
      <w:pgSz w:w="16839" w:h="11906"/>
      <w:pgMar w:top="400" w:right="1017" w:bottom="1176" w:left="1071" w:header="0" w:footer="10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73"/>
      <w:rPr>
        <w:rFonts w:ascii="Arial" w:hAnsi="Arial" w:eastAsia="Arial" w:cs="Arial"/>
        <w:sz w:val="18"/>
        <w:szCs w:val="18"/>
      </w:rPr>
    </w:pPr>
    <w:r>
      <w:rPr>
        <w:rFonts w:ascii="Arial" w:hAnsi="Arial" w:eastAsia="Arial" w:cs="Arial"/>
        <w:sz w:val="18"/>
        <w:szCs w:val="18"/>
      </w:rPr>
      <w:t>9</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2"/>
      <w:rPr>
        <w:rFonts w:ascii="Arial" w:hAnsi="Arial" w:eastAsia="Arial" w:cs="Arial"/>
        <w:sz w:val="18"/>
        <w:szCs w:val="18"/>
      </w:rPr>
    </w:pPr>
    <w:r>
      <w:rPr>
        <w:rFonts w:ascii="Arial" w:hAnsi="Arial" w:eastAsia="Arial" w:cs="Arial"/>
        <w:spacing w:val="-10"/>
        <w:sz w:val="18"/>
        <w:szCs w:val="18"/>
      </w:rPr>
      <w:t>18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8"/>
      <w:rPr>
        <w:rFonts w:ascii="Arial" w:hAnsi="Arial" w:eastAsia="Arial" w:cs="Arial"/>
        <w:sz w:val="18"/>
        <w:szCs w:val="18"/>
      </w:rPr>
    </w:pPr>
    <w:r>
      <w:rPr>
        <w:rFonts w:ascii="Arial" w:hAnsi="Arial" w:eastAsia="Arial" w:cs="Arial"/>
        <w:spacing w:val="-10"/>
        <w:sz w:val="18"/>
        <w:szCs w:val="18"/>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23"/>
      <w:rPr>
        <w:rFonts w:ascii="Arial" w:hAnsi="Arial" w:eastAsia="Arial" w:cs="Arial"/>
        <w:sz w:val="18"/>
        <w:szCs w:val="18"/>
      </w:rPr>
    </w:pPr>
    <w:r>
      <w:rPr>
        <w:rFonts w:ascii="Arial" w:hAnsi="Arial" w:eastAsia="Arial" w:cs="Arial"/>
        <w:spacing w:val="-3"/>
        <w:sz w:val="18"/>
        <w:szCs w:val="18"/>
      </w:rPr>
      <w:t>20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20"/>
      <w:rPr>
        <w:rFonts w:ascii="Arial" w:hAnsi="Arial" w:eastAsia="Arial" w:cs="Arial"/>
        <w:sz w:val="18"/>
        <w:szCs w:val="18"/>
      </w:rPr>
    </w:pPr>
    <w:r>
      <w:rPr>
        <w:rFonts w:ascii="Arial" w:hAnsi="Arial" w:eastAsia="Arial" w:cs="Arial"/>
        <w:spacing w:val="-3"/>
        <w:sz w:val="18"/>
        <w:szCs w:val="18"/>
      </w:rPr>
      <w:t>21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20"/>
      <w:rPr>
        <w:rFonts w:ascii="Arial" w:hAnsi="Arial" w:eastAsia="Arial" w:cs="Arial"/>
        <w:sz w:val="18"/>
        <w:szCs w:val="18"/>
      </w:rPr>
    </w:pPr>
    <w:r>
      <w:rPr>
        <w:rFonts w:ascii="Arial" w:hAnsi="Arial" w:eastAsia="Arial" w:cs="Arial"/>
        <w:spacing w:val="-3"/>
        <w:sz w:val="18"/>
        <w:szCs w:val="18"/>
      </w:rPr>
      <w:t>22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7252"/>
      <w:rPr>
        <w:rFonts w:ascii="Arial" w:hAnsi="Arial" w:eastAsia="Arial" w:cs="Arial"/>
        <w:sz w:val="18"/>
        <w:szCs w:val="18"/>
      </w:rPr>
    </w:pPr>
    <w:r>
      <w:rPr>
        <w:rFonts w:ascii="Arial" w:hAnsi="Arial" w:eastAsia="Arial" w:cs="Arial"/>
        <w:spacing w:val="-3"/>
        <w:sz w:val="18"/>
        <w:szCs w:val="18"/>
      </w:rPr>
      <w:t>23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34"/>
      <w:rPr>
        <w:rFonts w:ascii="Arial" w:hAnsi="Arial" w:eastAsia="Arial" w:cs="Arial"/>
        <w:sz w:val="18"/>
        <w:szCs w:val="18"/>
      </w:rPr>
    </w:pPr>
    <w:r>
      <w:rPr>
        <w:rFonts w:ascii="Arial" w:hAnsi="Arial" w:eastAsia="Arial" w:cs="Arial"/>
        <w:spacing w:val="-10"/>
        <w:sz w:val="18"/>
        <w:szCs w:val="18"/>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2"/>
      <w:rPr>
        <w:rFonts w:ascii="Arial" w:hAnsi="Arial" w:eastAsia="Arial" w:cs="Arial"/>
        <w:sz w:val="18"/>
        <w:szCs w:val="18"/>
      </w:rPr>
    </w:pPr>
    <w:r>
      <w:rPr>
        <w:rFonts w:ascii="Arial" w:hAnsi="Arial" w:eastAsia="Arial" w:cs="Arial"/>
        <w:spacing w:val="-10"/>
        <w:sz w:val="18"/>
        <w:szCs w:val="18"/>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2"/>
      <w:rPr>
        <w:rFonts w:ascii="Arial" w:hAnsi="Arial" w:eastAsia="Arial" w:cs="Arial"/>
        <w:sz w:val="18"/>
        <w:szCs w:val="18"/>
      </w:rPr>
    </w:pPr>
    <w:r>
      <w:rPr>
        <w:rFonts w:ascii="Arial" w:hAnsi="Arial" w:eastAsia="Arial" w:cs="Arial"/>
        <w:spacing w:val="-10"/>
        <w:sz w:val="18"/>
        <w:szCs w:val="18"/>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2"/>
      <w:rPr>
        <w:rFonts w:ascii="Arial" w:hAnsi="Arial" w:eastAsia="Arial" w:cs="Arial"/>
        <w:sz w:val="18"/>
        <w:szCs w:val="18"/>
      </w:rPr>
    </w:pPr>
    <w:r>
      <w:rPr>
        <w:rFonts w:ascii="Arial" w:hAnsi="Arial" w:eastAsia="Arial" w:cs="Arial"/>
        <w:spacing w:val="-10"/>
        <w:sz w:val="18"/>
        <w:szCs w:val="18"/>
      </w:rPr>
      <w:t>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2"/>
      <w:rPr>
        <w:rFonts w:ascii="Arial" w:hAnsi="Arial" w:eastAsia="Arial" w:cs="Arial"/>
        <w:sz w:val="18"/>
        <w:szCs w:val="18"/>
      </w:rPr>
    </w:pPr>
    <w:r>
      <w:rPr>
        <w:rFonts w:ascii="Arial" w:hAnsi="Arial" w:eastAsia="Arial" w:cs="Arial"/>
        <w:spacing w:val="-10"/>
        <w:sz w:val="18"/>
        <w:szCs w:val="18"/>
      </w:rPr>
      <w:t>14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42"/>
      <w:rPr>
        <w:rFonts w:ascii="Arial" w:hAnsi="Arial" w:eastAsia="Arial" w:cs="Arial"/>
        <w:sz w:val="18"/>
        <w:szCs w:val="18"/>
      </w:rPr>
    </w:pPr>
    <w:r>
      <w:rPr>
        <w:rFonts w:ascii="Arial" w:hAnsi="Arial" w:eastAsia="Arial" w:cs="Arial"/>
        <w:spacing w:val="-10"/>
        <w:sz w:val="18"/>
        <w:szCs w:val="18"/>
      </w:rPr>
      <w:t>15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40"/>
      <w:rPr>
        <w:rFonts w:ascii="Arial" w:hAnsi="Arial" w:eastAsia="Arial" w:cs="Arial"/>
        <w:sz w:val="18"/>
        <w:szCs w:val="18"/>
      </w:rPr>
    </w:pPr>
    <w:r>
      <w:rPr>
        <w:rFonts w:ascii="Arial" w:hAnsi="Arial" w:eastAsia="Arial" w:cs="Arial"/>
        <w:spacing w:val="-10"/>
        <w:sz w:val="18"/>
        <w:szCs w:val="18"/>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341"/>
      <w:rPr>
        <w:rFonts w:ascii="Arial" w:hAnsi="Arial" w:eastAsia="Arial" w:cs="Arial"/>
        <w:sz w:val="18"/>
        <w:szCs w:val="18"/>
      </w:rPr>
    </w:pPr>
    <w:r>
      <w:rPr>
        <w:rFonts w:ascii="Arial" w:hAnsi="Arial" w:eastAsia="Arial" w:cs="Arial"/>
        <w:spacing w:val="-10"/>
        <w:sz w:val="18"/>
        <w:szCs w:val="18"/>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mEzMjU0YmE4M2Q0ZmExYmQ1YWU4M2UyOGFiNmZjNzEifQ=="/>
  </w:docVars>
  <w:rsids>
    <w:rsidRoot w:val="00000000"/>
    <w:rsid w:val="30A0572B"/>
    <w:rsid w:val="3E096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TotalTime>15</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2024-05-07T18:58:00Z</dcterms:created>
  <dc:creator>Administrator</dc:creator>
  <cp:lastModifiedBy>王永国</cp:lastModifiedBy>
  <dcterms:modified xsi:type="dcterms:W3CDTF">2024-05-08T08:25:09Z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2024-05-08T16:04:46Z</vt:filetime>
  </property>
  <property fmtid="{D5CDD505-2E9C-101B-9397-08002B2CF9AE}" pid="4" name="KSOProductBuildVer">
    <vt:lpwstr>2052-12.1.0.16729</vt:lpwstr>
  </property>
  <property fmtid="{D5CDD505-2E9C-101B-9397-08002B2CF9AE}" pid="5" name="ICV">
    <vt:lpwstr>1CF9774BCF7C4BAF8C363C18EDC54B4C_12</vt:lpwstr>
  </property>
</Properties>
</file>