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1" w:line="222" w:lineRule="auto"/>
        <w:ind w:left="28"/>
      </w:pPr>
      <w:r>
        <w:rPr>
          <w:spacing w:val="-11"/>
        </w:rPr>
        <w:t>附件</w:t>
      </w:r>
    </w:p>
    <w:p>
      <w:pPr>
        <w:spacing w:line="278" w:lineRule="auto"/>
        <w:rPr>
          <w:rFonts w:ascii="Arial"/>
          <w:sz w:val="21"/>
        </w:rPr>
      </w:pPr>
    </w:p>
    <w:p>
      <w:pPr>
        <w:spacing w:before="113" w:line="221" w:lineRule="auto"/>
        <w:ind w:left="641"/>
        <w:rPr>
          <w:rFonts w:ascii="宋体" w:hAnsi="宋体" w:eastAsia="宋体" w:cs="宋体"/>
          <w:sz w:val="35"/>
          <w:szCs w:val="35"/>
        </w:rPr>
      </w:pPr>
      <w:r>
        <w:rPr>
          <w:rFonts w:ascii="宋体" w:hAnsi="宋体" w:eastAsia="宋体" w:cs="宋体"/>
          <w:spacing w:val="9"/>
          <w:sz w:val="35"/>
          <w:szCs w:val="35"/>
          <w14:textOutline w14:w="3175" w14:cap="flat" w14:cmpd="sng">
            <w14:solidFill>
              <w14:srgbClr w14:val="000000"/>
            </w14:solidFill>
            <w14:prstDash w14:val="solid"/>
            <w14:miter w14:val="0"/>
          </w14:textOutline>
        </w:rPr>
        <w:t>2024年度国家社科基金教育学重大项目</w:t>
      </w:r>
      <w:r>
        <w:rPr>
          <w:rFonts w:ascii="宋体" w:hAnsi="宋体" w:eastAsia="宋体" w:cs="宋体"/>
          <w:spacing w:val="8"/>
          <w:sz w:val="35"/>
          <w:szCs w:val="35"/>
          <w14:textOutline w14:w="3175" w14:cap="flat" w14:cmpd="sng">
            <w14:solidFill>
              <w14:srgbClr w14:val="000000"/>
            </w14:solidFill>
            <w14:prstDash w14:val="solid"/>
            <w14:miter w14:val="0"/>
          </w14:textOutline>
        </w:rPr>
        <w:t>招标公告</w:t>
      </w:r>
    </w:p>
    <w:p>
      <w:pPr>
        <w:spacing w:line="260" w:lineRule="auto"/>
        <w:rPr>
          <w:rFonts w:ascii="Arial"/>
          <w:sz w:val="21"/>
        </w:rPr>
      </w:pPr>
    </w:p>
    <w:p>
      <w:pPr>
        <w:spacing w:line="260"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firstLine="653"/>
        <w:textAlignment w:val="baseline"/>
      </w:pPr>
      <w:r>
        <w:rPr>
          <w:spacing w:val="12"/>
        </w:rPr>
        <w:t>经全国教育科学规划领导小组批准，2024年国家社会科学</w:t>
      </w:r>
      <w:r>
        <w:rPr>
          <w:spacing w:val="17"/>
        </w:rPr>
        <w:t>基金教育学重大项目面向全国公开招标，现将有关事项公告如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pPr>
      <w:r>
        <w:rPr>
          <w:spacing w:val="-9"/>
        </w:rPr>
        <w:t>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0"/>
        <w:textAlignment w:val="baseline"/>
        <w:rPr>
          <w:rFonts w:ascii="黑体" w:hAnsi="黑体" w:eastAsia="黑体" w:cs="黑体"/>
          <w:sz w:val="31"/>
          <w:szCs w:val="31"/>
        </w:rPr>
      </w:pPr>
      <w:r>
        <w:rPr>
          <w:rFonts w:ascii="黑体" w:hAnsi="黑体" w:eastAsia="黑体" w:cs="黑体"/>
          <w:spacing w:val="7"/>
          <w:sz w:val="31"/>
          <w:szCs w:val="31"/>
        </w:rPr>
        <w:t>一、招标单位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jc w:val="right"/>
        <w:textAlignment w:val="baseline"/>
      </w:pPr>
      <w:r>
        <w:rPr>
          <w:spacing w:val="37"/>
          <w:position w:val="18"/>
        </w:rPr>
        <w:t>全国教育科学规划领导小组办公室（以下简称“全规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pPr>
      <w:r>
        <w:rPr>
          <w:spacing w:val="12"/>
        </w:rPr>
        <w:t>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0"/>
        <w:textAlignment w:val="baseline"/>
        <w:rPr>
          <w:rFonts w:ascii="黑体" w:hAnsi="黑体" w:eastAsia="黑体" w:cs="黑体"/>
          <w:sz w:val="31"/>
          <w:szCs w:val="31"/>
        </w:rPr>
      </w:pPr>
      <w:r>
        <w:rPr>
          <w:rFonts w:ascii="黑体" w:hAnsi="黑体" w:eastAsia="黑体" w:cs="黑体"/>
          <w:spacing w:val="7"/>
          <w:sz w:val="31"/>
          <w:szCs w:val="31"/>
        </w:rPr>
        <w:t>二、招标对象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right="2" w:firstLine="654"/>
        <w:textAlignment w:val="baseline"/>
      </w:pPr>
      <w:r>
        <w:rPr>
          <w:spacing w:val="17"/>
        </w:rPr>
        <w:t>主要包括高等院校，部委直属单位，省级以上研究机构、</w:t>
      </w:r>
      <w:r>
        <w:rPr>
          <w:spacing w:val="24"/>
        </w:rPr>
        <w:t>党校（行政学院）等的研究人员。投标要以责任单位名义进</w:t>
      </w:r>
      <w:r>
        <w:rPr>
          <w:spacing w:val="17"/>
        </w:rPr>
        <w:t>行，多单位联合投标须确定一个责任单位。鼓励跨学科、跨地区、跨单位联合投标，鼓励理论工作部门与实际工作部门合作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pPr>
      <w:r>
        <w:rPr>
          <w:spacing w:val="3"/>
        </w:rPr>
        <w:t>开展研究。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2"/>
        <w:textAlignment w:val="baseline"/>
        <w:rPr>
          <w:rFonts w:ascii="黑体" w:hAnsi="黑体" w:eastAsia="黑体" w:cs="黑体"/>
          <w:sz w:val="31"/>
          <w:szCs w:val="31"/>
        </w:rPr>
      </w:pPr>
      <w:r>
        <w:rPr>
          <w:rFonts w:ascii="黑体" w:hAnsi="黑体" w:eastAsia="黑体" w:cs="黑体"/>
          <w:spacing w:val="7"/>
          <w:sz w:val="31"/>
          <w:szCs w:val="31"/>
        </w:rPr>
        <w:t>三、招标工作总要求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坚持以习近平新时代中国特色社会主义思想为指导，以习</w:t>
      </w:r>
      <w:r>
        <w:rPr>
          <w:spacing w:val="17"/>
        </w:rPr>
        <w:t>近平总书记关于教育的重要论述为引领，全面贯彻落</w:t>
      </w:r>
      <w:r>
        <w:rPr>
          <w:spacing w:val="16"/>
        </w:rPr>
        <w:t>实党的二</w:t>
      </w:r>
      <w:r>
        <w:rPr>
          <w:spacing w:val="17"/>
        </w:rPr>
        <w:t>十大精神，深入实施《中共中央关于加快构建中国特</w:t>
      </w:r>
      <w:r>
        <w:rPr>
          <w:spacing w:val="16"/>
        </w:rPr>
        <w:t>色哲学社</w:t>
      </w:r>
      <w:r>
        <w:rPr>
          <w:spacing w:val="29"/>
        </w:rPr>
        <w:t>会科学的意见》，坚持正确的政治方向、价值取向和学术导</w:t>
      </w:r>
      <w:r>
        <w:rPr>
          <w:spacing w:val="14"/>
        </w:rPr>
        <w:t>向，以对推进党的理论创新、中国式现代化和科教兴国具有学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2"/>
        <w:textAlignment w:val="baseline"/>
        <w:rPr>
          <w:rFonts w:ascii="黑体" w:hAnsi="黑体" w:eastAsia="黑体" w:cs="黑体"/>
          <w:sz w:val="31"/>
          <w:szCs w:val="31"/>
        </w:rPr>
      </w:pPr>
      <w:r>
        <w:rPr>
          <w:rFonts w:ascii="黑体" w:hAnsi="黑体" w:eastAsia="黑体" w:cs="黑体"/>
          <w:spacing w:val="6"/>
          <w:sz w:val="31"/>
          <w:szCs w:val="31"/>
        </w:rPr>
        <w:t>四、招标数量和资助强度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2024年度共发布14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1"/>
        <w:textAlignment w:val="baseline"/>
        <w:rPr>
          <w:rFonts w:ascii="黑体" w:hAnsi="黑体" w:eastAsia="黑体" w:cs="黑体"/>
          <w:sz w:val="31"/>
          <w:szCs w:val="31"/>
        </w:rPr>
      </w:pPr>
      <w:r>
        <w:rPr>
          <w:rFonts w:ascii="黑体" w:hAnsi="黑体" w:eastAsia="黑体" w:cs="黑体"/>
          <w:spacing w:val="7"/>
          <w:sz w:val="31"/>
          <w:szCs w:val="31"/>
        </w:rPr>
        <w:t>五、投标资格要求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（一）责任单位须具备下列条件：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1.在相关研究领域具有较强的科研力量和深厚的学术积累；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2.设有专门负责科研管理工作的职能部门；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3.能够为开展重大项目研究工作提供良好条件。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（二）投标人须具备下列条件：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lang w:val="en-US" w:eastAsia="en-US"/>
        </w:rPr>
        <w:t>1.遵守中华人民共和国宪法和法律，遵守国家社会科学基金各项管理规定；在相关研究领域具有深厚的学术造诣和丰富的科研经验，社会责任感强，品行端正，学风优良；具有正高级专业技术职称或厅局级（含） 以上领导职务，能够承担实质性研究工作并担负科研组织指导职责；每个投标团队首席专家</w:t>
      </w:r>
      <w:r>
        <w:rPr>
          <w:spacing w:val="14"/>
        </w:rPr>
        <w:t>只能为一人。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2.在研国家社会科学基金和全国教育科学规划各类项目，马克思主义理论研究和建设工程重大项目及其他国家级重大科研项目，教育部哲学社会科学研究重大课题攻关项目的负责人，不能作为首席专家参加本次投标。申报2024年国家社会科学基金年度项目和重大项目、全国教育科学规划年度项目的申请人，不能投标本次国家社会科学基金教育学重大项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3.首席专家只能投标一个项目，且不能作为子课题负责人或项目组成员参与本次投标的其他项目。子课题负责人须具有副高级（含）以上职称，在本次招标中只能参与一个投标项目，项目组成员最多参与两个投标项目。在研国家社科基金重大项目、重大研究专项项目及教育部哲学社会科学研究重大课题攻关项目的负责人，不得作为子课题负责人参与本次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9"/>
        <w:textAlignment w:val="baseline"/>
        <w:rPr>
          <w:rFonts w:ascii="仿宋" w:hAnsi="仿宋" w:eastAsia="仿宋" w:cs="仿宋"/>
          <w:b/>
          <w:bCs/>
          <w:snapToGrid w:val="0"/>
          <w:color w:val="000000"/>
          <w:spacing w:val="14"/>
          <w:kern w:val="0"/>
          <w:sz w:val="31"/>
          <w:szCs w:val="31"/>
          <w:lang w:val="en-US" w:eastAsia="en-US" w:bidi="ar-SA"/>
        </w:rPr>
      </w:pPr>
      <w:r>
        <w:rPr>
          <w:rFonts w:ascii="仿宋" w:hAnsi="仿宋" w:eastAsia="仿宋" w:cs="仿宋"/>
          <w:b/>
          <w:bCs/>
          <w:snapToGrid w:val="0"/>
          <w:color w:val="000000"/>
          <w:spacing w:val="14"/>
          <w:kern w:val="0"/>
          <w:sz w:val="31"/>
          <w:szCs w:val="31"/>
          <w:lang w:val="en-US" w:eastAsia="en-US" w:bidi="ar-SA"/>
        </w:rPr>
        <w:t>六、投标项目要求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76" w:firstLineChars="200"/>
        <w:textAlignment w:val="baseline"/>
        <w:rPr>
          <w:spacing w:val="14"/>
        </w:rPr>
      </w:pPr>
      <w:r>
        <w:rPr>
          <w:rFonts w:ascii="仿宋" w:hAnsi="仿宋" w:eastAsia="仿宋" w:cs="仿宋"/>
          <w:snapToGrid w:val="0"/>
          <w:color w:val="000000"/>
          <w:spacing w:val="14"/>
          <w:kern w:val="0"/>
          <w:sz w:val="31"/>
          <w:szCs w:val="31"/>
          <w:lang w:val="en-US" w:eastAsia="en-US" w:bidi="ar-SA"/>
        </w:rPr>
        <w:t>（一）投标人须按照《招标公告》发布的选题指南投标。选题表述原则上不得修改，如确有需要可进行适当微调，但不得大幅压缩或改变研究内容，自拟选题不予受理。本次投标须按照新修订的《2024年国家社会科学基金教育学重大项目投标书》（2024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w:t>
      </w:r>
      <w:r>
        <w:rPr>
          <w:spacing w:val="14"/>
        </w:rPr>
        <w:t>万字。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（二）投标项目要突出研究重点，体现有限目标，项目设计不宜过于宽泛，避免大而全，子课题数量5个左右；每个子课题只能确定一名负责人。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（三）投标人须提交3篇与申报选题研究领域相关的代表性成果（论文或专著），作为评审立项的重要参考。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 xml:space="preserve">（四）投标人要熟知国内外相关领域研究前沿动态，具备扎 </w:t>
      </w:r>
      <w:r>
        <w:rPr>
          <w:spacing w:val="14"/>
        </w:rPr>
        <w:t>实的研究基础和丰富的相关前期研究成果。除必要的学术史梳 理或综述外，应着重阐明本项目设计相对于已有研究的独到学术价值、应用价值和社会意义。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（五）投标人要树立鲜明的问题导向和创新意识，在框架设计、研究思路、主要内容、基本观点、研究方法等方面，体现 创新的学术思想、独到的学术见解和可能取得的突破。注重采取多学科研究方法和组建跨学科研究团队。发挥重大项目在科研育人方面的重要作用。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（六）项目完成时间根据研究工作的实际需要确定，一般应在2-5年完成，应用性研究周期为2-3年，基础性研究最长不得超过5年。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（七）预期研究成果的规模和数量应科学合理，确保质量和学术水准，多出精品力作。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8"/>
        <w:textAlignment w:val="baseline"/>
        <w:rPr>
          <w:rFonts w:ascii="黑体" w:hAnsi="黑体" w:eastAsia="黑体" w:cs="黑体"/>
          <w:sz w:val="31"/>
          <w:szCs w:val="31"/>
        </w:rPr>
      </w:pPr>
      <w:r>
        <w:rPr>
          <w:rFonts w:ascii="黑体" w:hAnsi="黑体" w:eastAsia="黑体" w:cs="黑体"/>
          <w:spacing w:val="8"/>
          <w:sz w:val="31"/>
          <w:szCs w:val="31"/>
        </w:rPr>
        <w:t>七、投标纪律要求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（一）责任单位和投标人要加强审核，切实把好政治方向关和学术质量关。二级管理单位（含各省级教育规划办，部委直属高校和直属单位、部省合建高校的科研管理部门）要按工作 程序对《投标书》、投标人及科研团队进行</w:t>
      </w:r>
      <w:r>
        <w:rPr>
          <w:spacing w:val="14"/>
        </w:rPr>
        <w:t>资格审查，合格的予以报送。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（四）投标人可提出2名以内建议回避评审专家，我办将根据评审工作实际情况予以考虑。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3"/>
        <w:textAlignment w:val="baseline"/>
        <w:rPr>
          <w:rFonts w:ascii="黑体" w:hAnsi="黑体" w:eastAsia="黑体" w:cs="黑体"/>
          <w:sz w:val="31"/>
          <w:szCs w:val="31"/>
        </w:rPr>
      </w:pPr>
      <w:r>
        <w:rPr>
          <w:rFonts w:ascii="黑体" w:hAnsi="黑体" w:eastAsia="黑体" w:cs="黑体"/>
          <w:spacing w:val="7"/>
          <w:sz w:val="31"/>
          <w:szCs w:val="31"/>
        </w:rPr>
        <w:t>八、时间安排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76" w:firstLineChars="200"/>
        <w:textAlignment w:val="baseline"/>
        <w:rPr>
          <w:rFonts w:ascii="仿宋" w:hAnsi="仿宋" w:eastAsia="仿宋" w:cs="仿宋"/>
          <w:snapToGrid w:val="0"/>
          <w:color w:val="000000"/>
          <w:spacing w:val="14"/>
          <w:kern w:val="0"/>
          <w:sz w:val="31"/>
          <w:szCs w:val="31"/>
          <w:lang w:val="en-US" w:eastAsia="en-US" w:bidi="ar-SA"/>
        </w:rPr>
      </w:pPr>
      <w:r>
        <w:rPr>
          <w:rFonts w:ascii="仿宋" w:hAnsi="仿宋" w:eastAsia="仿宋" w:cs="仿宋"/>
          <w:snapToGrid w:val="0"/>
          <w:color w:val="000000"/>
          <w:spacing w:val="14"/>
          <w:kern w:val="0"/>
          <w:sz w:val="31"/>
          <w:szCs w:val="31"/>
          <w:lang w:val="en-US" w:eastAsia="en-US" w:bidi="ar-SA"/>
        </w:rPr>
        <w:t>（一）国家社科基金教育学重大项目网络申报系统于5月10日零时至5月31日17时开放，在此期间投标人可登录“全国教育科学规划管理平台”（https://202.205.185.227/）,以实名信息注册账号后进入系统，并按规定要求填写申报信息（已有账号者无需再次注册）。逾期系统自动关闭，不再受理申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rFonts w:ascii="仿宋" w:hAnsi="仿宋" w:eastAsia="仿宋" w:cs="仿宋"/>
          <w:snapToGrid w:val="0"/>
          <w:color w:val="000000"/>
          <w:spacing w:val="14"/>
          <w:kern w:val="0"/>
          <w:sz w:val="31"/>
          <w:szCs w:val="31"/>
          <w:lang w:val="en-US" w:eastAsia="en-US" w:bidi="ar-SA"/>
        </w:rPr>
        <w:t>“全国教育科学规划管理平台” 中的 “项目申报系统”为本次申报的唯一网络平台。有关申报系统及技术问题请咨询400-</w:t>
      </w:r>
      <w:r>
        <w:rPr>
          <w:spacing w:val="14"/>
        </w:rPr>
        <w:t>800-1636， 电子信箱：support@e-plugger.com。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二）二级管理单位网上审核提交截止时间为2024年6月7日18时。审核期间可以退回修改再提交但不能新增申报。二级管理单位需将系统生成的本地区（本单位）《申报数据汇总表》加盖公章的扫描件及审查合格的《投标书》在平台上提交至全规办；6月14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（三）全规办对《投标书》进行资格审查，组织专家对通过资格审查的投标材料进行评审，提出建议中标项目名单并按程序立项。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r>
        <w:rPr>
          <w:spacing w:val="14"/>
        </w:rPr>
        <w:t>邮寄地址：北京市海淀区北三环中路46号全国教育科学规划领导小组办公室。010—62003471、62003308；邮政编码：100088。</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 w:firstLine="649"/>
        <w:textAlignment w:val="baseline"/>
        <w:rPr>
          <w:spacing w:val="1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43"/>
        <w:textAlignment w:val="baseline"/>
      </w:pPr>
      <w:r>
        <w:rPr>
          <w:spacing w:val="-9"/>
        </w:rPr>
        <w:t>附件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39"/>
        <w:textAlignment w:val="baseline"/>
      </w:pPr>
      <w:r>
        <w:rPr>
          <w:spacing w:val="6"/>
        </w:rPr>
        <w:t>1.2024年度国家社科基金教育学重大项目指南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pPr>
      <w:r>
        <w:rPr>
          <w:spacing w:val="7"/>
        </w:rPr>
        <w:t>2.2024年国家社科基金教育学重大招标项目投标书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44"/>
        <w:textAlignment w:val="baseline"/>
      </w:pPr>
      <w:r>
        <w:rPr>
          <w:spacing w:val="6"/>
        </w:rPr>
        <w:t>3.2024年度全国教育科学规划项目申报常见问题答疑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pPr>
      <w:r>
        <w:rPr>
          <w:rFonts w:hint="eastAsia"/>
          <w:spacing w:val="11"/>
          <w:lang w:val="en-US" w:eastAsia="zh-CN"/>
        </w:rPr>
        <w:t xml:space="preserve">   </w:t>
      </w:r>
      <w:r>
        <w:rPr>
          <w:spacing w:val="11"/>
        </w:rPr>
        <w:t>4.2024年度国家社会科学基金教育学重大项目投标材料汇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r>
        <w:rPr>
          <w:spacing w:val="-3"/>
        </w:rPr>
        <w:t>总表（excel格式）</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2"/>
        <w:spacing w:before="101" w:line="562" w:lineRule="exact"/>
        <w:ind w:left="3817"/>
      </w:pPr>
      <w:r>
        <w:rPr>
          <w:spacing w:val="9"/>
          <w:position w:val="18"/>
        </w:rPr>
        <w:t>全国教育科学规划领导小组办公室</w:t>
      </w:r>
    </w:p>
    <w:p>
      <w:pPr>
        <w:pStyle w:val="2"/>
        <w:spacing w:line="222" w:lineRule="auto"/>
        <w:ind w:left="5112"/>
      </w:pPr>
      <w:r>
        <w:rPr>
          <w:spacing w:val="-8"/>
        </w:rPr>
        <w:t>2024年4月30日</w:t>
      </w:r>
    </w:p>
    <w:p>
      <w:pPr>
        <w:spacing w:line="222" w:lineRule="auto"/>
        <w:sectPr>
          <w:headerReference r:id="rId5" w:type="default"/>
          <w:footerReference r:id="rId6" w:type="default"/>
          <w:pgSz w:w="11907" w:h="16840"/>
          <w:pgMar w:top="400" w:right="1474" w:bottom="1369" w:left="1619" w:header="0" w:footer="1202" w:gutter="0"/>
          <w:cols w:space="720" w:num="1"/>
        </w:sectPr>
      </w:pPr>
    </w:p>
    <w:p>
      <w:pPr>
        <w:spacing w:line="268" w:lineRule="auto"/>
        <w:rPr>
          <w:rFonts w:ascii="Arial"/>
          <w:sz w:val="21"/>
        </w:rPr>
      </w:pPr>
    </w:p>
    <w:p>
      <w:pPr>
        <w:pStyle w:val="2"/>
        <w:spacing w:before="101" w:line="222" w:lineRule="auto"/>
        <w:ind w:left="29"/>
      </w:pPr>
      <w:bookmarkStart w:id="0" w:name="_GoBack"/>
      <w:bookmarkEnd w:id="0"/>
      <w:r>
        <w:rPr>
          <w:spacing w:val="-10"/>
        </w:rPr>
        <w:t>附件</w:t>
      </w:r>
      <w:r>
        <w:rPr>
          <w:spacing w:val="-54"/>
        </w:rPr>
        <w:t xml:space="preserve"> </w:t>
      </w:r>
      <w:r>
        <w:rPr>
          <w:spacing w:val="-10"/>
        </w:rPr>
        <w:t>1</w:t>
      </w:r>
    </w:p>
    <w:p>
      <w:pPr>
        <w:spacing w:line="265" w:lineRule="auto"/>
        <w:rPr>
          <w:rFonts w:ascii="Arial"/>
          <w:sz w:val="21"/>
        </w:rPr>
      </w:pPr>
    </w:p>
    <w:p>
      <w:pPr>
        <w:spacing w:line="265" w:lineRule="auto"/>
        <w:rPr>
          <w:rFonts w:ascii="Arial"/>
          <w:sz w:val="21"/>
        </w:rPr>
      </w:pPr>
    </w:p>
    <w:p>
      <w:pPr>
        <w:spacing w:before="113" w:line="221" w:lineRule="auto"/>
        <w:ind w:left="956"/>
        <w:rPr>
          <w:rFonts w:ascii="宋体" w:hAnsi="宋体" w:eastAsia="宋体" w:cs="宋体"/>
          <w:sz w:val="35"/>
          <w:szCs w:val="35"/>
        </w:rPr>
      </w:pPr>
      <w:r>
        <w:rPr>
          <w:rFonts w:ascii="宋体" w:hAnsi="宋体" w:eastAsia="宋体" w:cs="宋体"/>
          <w:spacing w:val="8"/>
          <w:sz w:val="35"/>
          <w:szCs w:val="35"/>
          <w14:textOutline w14:w="3175" w14:cap="flat" w14:cmpd="sng">
            <w14:solidFill>
              <w14:srgbClr w14:val="000000"/>
            </w14:solidFill>
            <w14:prstDash w14:val="solid"/>
            <w14:miter w14:val="0"/>
          </w14:textOutline>
        </w:rPr>
        <w:t>2024</w:t>
      </w:r>
      <w:r>
        <w:rPr>
          <w:rFonts w:ascii="宋体" w:hAnsi="宋体" w:eastAsia="宋体" w:cs="宋体"/>
          <w:spacing w:val="-69"/>
          <w:sz w:val="35"/>
          <w:szCs w:val="35"/>
        </w:rPr>
        <w:t xml:space="preserve"> </w:t>
      </w:r>
      <w:r>
        <w:rPr>
          <w:rFonts w:ascii="宋体" w:hAnsi="宋体" w:eastAsia="宋体" w:cs="宋体"/>
          <w:spacing w:val="8"/>
          <w:sz w:val="35"/>
          <w:szCs w:val="35"/>
          <w14:textOutline w14:w="3175" w14:cap="flat" w14:cmpd="sng">
            <w14:solidFill>
              <w14:srgbClr w14:val="000000"/>
            </w14:solidFill>
            <w14:prstDash w14:val="solid"/>
            <w14:miter w14:val="0"/>
          </w14:textOutline>
        </w:rPr>
        <w:t>年度国家社科基金教育学重大项目指南</w:t>
      </w:r>
    </w:p>
    <w:p>
      <w:pPr>
        <w:pStyle w:val="2"/>
        <w:spacing w:before="175" w:line="333" w:lineRule="auto"/>
        <w:ind w:left="19" w:firstLine="627"/>
        <w:jc w:val="both"/>
      </w:pPr>
      <w:r>
        <w:rPr>
          <w:spacing w:val="31"/>
        </w:rPr>
        <w:t>本年度对国家社科基金教育学重大项目提供指南及其意</w:t>
      </w:r>
      <w:r>
        <w:rPr>
          <w:spacing w:val="7"/>
        </w:rPr>
        <w:t xml:space="preserve"> </w:t>
      </w:r>
      <w:r>
        <w:rPr>
          <w:spacing w:val="16"/>
        </w:rPr>
        <w:t>图。评审采取招标方式。投标人应着力体现指南意图内容。重</w:t>
      </w:r>
      <w:r>
        <w:rPr>
          <w:spacing w:val="14"/>
        </w:rPr>
        <w:t xml:space="preserve"> </w:t>
      </w:r>
      <w:r>
        <w:rPr>
          <w:spacing w:val="13"/>
        </w:rPr>
        <w:t>大项目应用性研究一般应在</w:t>
      </w:r>
      <w:r>
        <w:rPr>
          <w:spacing w:val="-27"/>
        </w:rPr>
        <w:t xml:space="preserve"> </w:t>
      </w:r>
      <w:r>
        <w:rPr>
          <w:spacing w:val="13"/>
        </w:rPr>
        <w:t>2-3</w:t>
      </w:r>
      <w:r>
        <w:rPr>
          <w:spacing w:val="-46"/>
        </w:rPr>
        <w:t xml:space="preserve"> </w:t>
      </w:r>
      <w:r>
        <w:rPr>
          <w:spacing w:val="13"/>
        </w:rPr>
        <w:t>年完成，基础性研究最长不得</w:t>
      </w:r>
    </w:p>
    <w:p>
      <w:pPr>
        <w:pStyle w:val="2"/>
        <w:spacing w:line="222" w:lineRule="auto"/>
      </w:pPr>
      <w:r>
        <w:rPr>
          <w:spacing w:val="-4"/>
        </w:rPr>
        <w:t>超过</w:t>
      </w:r>
      <w:r>
        <w:rPr>
          <w:spacing w:val="-45"/>
        </w:rPr>
        <w:t xml:space="preserve"> </w:t>
      </w:r>
      <w:r>
        <w:rPr>
          <w:spacing w:val="-4"/>
        </w:rPr>
        <w:t>5</w:t>
      </w:r>
      <w:r>
        <w:rPr>
          <w:spacing w:val="-59"/>
        </w:rPr>
        <w:t xml:space="preserve"> </w:t>
      </w:r>
      <w:r>
        <w:rPr>
          <w:spacing w:val="-4"/>
        </w:rPr>
        <w:t>年。</w:t>
      </w:r>
    </w:p>
    <w:p>
      <w:pPr>
        <w:pStyle w:val="2"/>
        <w:spacing w:before="188" w:line="219" w:lineRule="auto"/>
        <w:ind w:left="666"/>
        <w:outlineLvl w:val="0"/>
      </w:pPr>
      <w:r>
        <w:rPr>
          <w:spacing w:val="9"/>
          <w14:textOutline w14:w="5793" w14:cap="sq" w14:cmpd="sng">
            <w14:solidFill>
              <w14:srgbClr w14:val="000000"/>
            </w14:solidFill>
            <w14:prstDash w14:val="solid"/>
            <w14:bevel/>
          </w14:textOutline>
        </w:rPr>
        <w:t>1.教育推动人口红利向人才红利转变的关键路径研究</w:t>
      </w:r>
    </w:p>
    <w:p>
      <w:pPr>
        <w:pStyle w:val="2"/>
        <w:spacing w:before="194" w:line="333" w:lineRule="auto"/>
        <w:ind w:left="3" w:firstLine="647"/>
        <w:jc w:val="both"/>
      </w:pPr>
      <w:r>
        <w:rPr>
          <w:spacing w:val="21"/>
        </w:rPr>
        <w:t>指南意图</w:t>
      </w:r>
      <w:r>
        <w:rPr>
          <w:spacing w:val="-23"/>
        </w:rPr>
        <w:t>：（</w:t>
      </w:r>
      <w:r>
        <w:rPr>
          <w:spacing w:val="21"/>
        </w:rPr>
        <w:t>1）研判人口问题的程度和趋势</w:t>
      </w:r>
      <w:r>
        <w:rPr>
          <w:spacing w:val="-23"/>
        </w:rPr>
        <w:t>；（</w:t>
      </w:r>
      <w:r>
        <w:rPr>
          <w:spacing w:val="21"/>
        </w:rPr>
        <w:t>2）</w:t>
      </w:r>
      <w:r>
        <w:rPr>
          <w:spacing w:val="-87"/>
        </w:rPr>
        <w:t xml:space="preserve"> </w:t>
      </w:r>
      <w:r>
        <w:rPr>
          <w:spacing w:val="21"/>
        </w:rPr>
        <w:t>阐释</w:t>
      </w:r>
      <w:r>
        <w:t xml:space="preserve"> </w:t>
      </w:r>
      <w:r>
        <w:rPr>
          <w:spacing w:val="17"/>
        </w:rPr>
        <w:t>中国式现代化、人口高质量发展、教育强国建设三者之间的学</w:t>
      </w:r>
      <w:r>
        <w:rPr>
          <w:spacing w:val="3"/>
        </w:rPr>
        <w:t xml:space="preserve"> </w:t>
      </w:r>
      <w:r>
        <w:rPr>
          <w:spacing w:val="23"/>
        </w:rPr>
        <w:t>理</w:t>
      </w:r>
      <w:r>
        <w:rPr>
          <w:spacing w:val="-23"/>
        </w:rPr>
        <w:t>；（</w:t>
      </w:r>
      <w:r>
        <w:rPr>
          <w:spacing w:val="23"/>
        </w:rPr>
        <w:t>3）研究发达国家应对人口问题的教育举措</w:t>
      </w:r>
      <w:r>
        <w:rPr>
          <w:spacing w:val="-23"/>
        </w:rPr>
        <w:t>；（</w:t>
      </w:r>
      <w:r>
        <w:rPr>
          <w:spacing w:val="23"/>
        </w:rPr>
        <w:t>4）研究</w:t>
      </w:r>
      <w:r>
        <w:rPr>
          <w:spacing w:val="2"/>
        </w:rPr>
        <w:t xml:space="preserve"> </w:t>
      </w:r>
      <w:r>
        <w:rPr>
          <w:spacing w:val="14"/>
        </w:rPr>
        <w:t>提高学生认知技能水平、培养创新人才的突破性举措</w:t>
      </w:r>
      <w:r>
        <w:rPr>
          <w:spacing w:val="-27"/>
        </w:rPr>
        <w:t>；（</w:t>
      </w:r>
      <w:r>
        <w:rPr>
          <w:spacing w:val="14"/>
        </w:rPr>
        <w:t>5）探</w:t>
      </w:r>
    </w:p>
    <w:p>
      <w:pPr>
        <w:pStyle w:val="2"/>
        <w:spacing w:before="1" w:line="222" w:lineRule="auto"/>
        <w:ind w:left="36"/>
      </w:pPr>
      <w:r>
        <w:rPr>
          <w:spacing w:val="5"/>
        </w:rPr>
        <w:t>明教育与生育率的关系。</w:t>
      </w:r>
    </w:p>
    <w:p>
      <w:pPr>
        <w:pStyle w:val="2"/>
        <w:spacing w:before="189" w:line="222" w:lineRule="auto"/>
        <w:ind w:left="659"/>
        <w:outlineLvl w:val="0"/>
      </w:pPr>
      <w:r>
        <w:rPr>
          <w:spacing w:val="6"/>
          <w14:textOutline w14:w="5793" w14:cap="sq" w14:cmpd="sng">
            <w14:solidFill>
              <w14:srgbClr w14:val="000000"/>
            </w14:solidFill>
            <w14:prstDash w14:val="solid"/>
            <w14:bevel/>
          </w14:textOutline>
        </w:rPr>
        <w:t>2.</w:t>
      </w:r>
      <w:r>
        <w:rPr>
          <w:spacing w:val="-91"/>
        </w:rPr>
        <w:t xml:space="preserve"> </w:t>
      </w:r>
      <w:r>
        <w:rPr>
          <w:spacing w:val="6"/>
          <w14:textOutline w14:w="5793" w14:cap="sq" w14:cmpd="sng">
            <w14:solidFill>
              <w14:srgbClr w14:val="000000"/>
            </w14:solidFill>
            <w14:prstDash w14:val="solid"/>
            <w14:bevel/>
          </w14:textOutline>
        </w:rPr>
        <w:t>“十五五”教育发展环境与目标任务研究</w:t>
      </w:r>
    </w:p>
    <w:p>
      <w:pPr>
        <w:pStyle w:val="2"/>
        <w:spacing w:before="182" w:line="334" w:lineRule="auto"/>
        <w:ind w:left="7" w:firstLine="643"/>
        <w:jc w:val="both"/>
      </w:pPr>
      <w:r>
        <w:rPr>
          <w:spacing w:val="20"/>
        </w:rPr>
        <w:t>指南意图</w:t>
      </w:r>
      <w:r>
        <w:rPr>
          <w:spacing w:val="-25"/>
        </w:rPr>
        <w:t>：（</w:t>
      </w:r>
      <w:r>
        <w:rPr>
          <w:spacing w:val="20"/>
        </w:rPr>
        <w:t>1）总结评估</w:t>
      </w:r>
      <w:r>
        <w:rPr>
          <w:spacing w:val="-93"/>
        </w:rPr>
        <w:t xml:space="preserve"> </w:t>
      </w:r>
      <w:r>
        <w:rPr>
          <w:spacing w:val="20"/>
        </w:rPr>
        <w:t>“</w:t>
      </w:r>
      <w:r>
        <w:rPr>
          <w:spacing w:val="-119"/>
        </w:rPr>
        <w:t xml:space="preserve"> </w:t>
      </w:r>
      <w:r>
        <w:rPr>
          <w:spacing w:val="20"/>
        </w:rPr>
        <w:t>十四五”教育发展</w:t>
      </w:r>
      <w:r>
        <w:rPr>
          <w:spacing w:val="-25"/>
        </w:rPr>
        <w:t>；（</w:t>
      </w:r>
      <w:r>
        <w:rPr>
          <w:spacing w:val="20"/>
        </w:rPr>
        <w:t>2）研</w:t>
      </w:r>
      <w:r>
        <w:t xml:space="preserve"> </w:t>
      </w:r>
      <w:r>
        <w:rPr>
          <w:spacing w:val="12"/>
        </w:rPr>
        <w:t>判</w:t>
      </w:r>
      <w:r>
        <w:rPr>
          <w:spacing w:val="-92"/>
        </w:rPr>
        <w:t xml:space="preserve"> </w:t>
      </w:r>
      <w:r>
        <w:rPr>
          <w:spacing w:val="12"/>
        </w:rPr>
        <w:t>“</w:t>
      </w:r>
      <w:r>
        <w:rPr>
          <w:spacing w:val="-119"/>
        </w:rPr>
        <w:t xml:space="preserve"> </w:t>
      </w:r>
      <w:r>
        <w:rPr>
          <w:spacing w:val="12"/>
        </w:rPr>
        <w:t>十五五”</w:t>
      </w:r>
      <w:r>
        <w:rPr>
          <w:spacing w:val="-117"/>
        </w:rPr>
        <w:t xml:space="preserve"> </w:t>
      </w:r>
      <w:r>
        <w:rPr>
          <w:spacing w:val="12"/>
        </w:rPr>
        <w:t>国际格局变化、我国经济社会发展、学龄人口变</w:t>
      </w:r>
      <w:r>
        <w:t xml:space="preserve"> </w:t>
      </w:r>
      <w:r>
        <w:rPr>
          <w:spacing w:val="14"/>
        </w:rPr>
        <w:t>化等形势及其对教育发展的影响</w:t>
      </w:r>
      <w:r>
        <w:rPr>
          <w:spacing w:val="-30"/>
        </w:rPr>
        <w:t>；（</w:t>
      </w:r>
      <w:r>
        <w:rPr>
          <w:spacing w:val="14"/>
        </w:rPr>
        <w:t>3）研究国际组织重要教育</w:t>
      </w:r>
      <w:r>
        <w:t xml:space="preserve"> </w:t>
      </w:r>
      <w:r>
        <w:rPr>
          <w:spacing w:val="14"/>
        </w:rPr>
        <w:t>思想和发达国家重大教育战略</w:t>
      </w:r>
      <w:r>
        <w:rPr>
          <w:spacing w:val="-30"/>
        </w:rPr>
        <w:t>；（</w:t>
      </w:r>
      <w:r>
        <w:rPr>
          <w:spacing w:val="14"/>
        </w:rPr>
        <w:t>4）围绕教育强国主要指标开</w:t>
      </w:r>
      <w:r>
        <w:t xml:space="preserve"> </w:t>
      </w:r>
      <w:r>
        <w:rPr>
          <w:spacing w:val="10"/>
        </w:rPr>
        <w:t>展国际比较研究</w:t>
      </w:r>
      <w:r>
        <w:rPr>
          <w:spacing w:val="-26"/>
        </w:rPr>
        <w:t>；（</w:t>
      </w:r>
      <w:r>
        <w:rPr>
          <w:spacing w:val="10"/>
        </w:rPr>
        <w:t>5）研究教育强国建设中</w:t>
      </w:r>
      <w:r>
        <w:rPr>
          <w:spacing w:val="-102"/>
        </w:rPr>
        <w:t xml:space="preserve"> </w:t>
      </w:r>
      <w:r>
        <w:rPr>
          <w:spacing w:val="10"/>
        </w:rPr>
        <w:t>“十五五”</w:t>
      </w:r>
      <w:r>
        <w:rPr>
          <w:spacing w:val="-112"/>
        </w:rPr>
        <w:t xml:space="preserve"> </w:t>
      </w:r>
      <w:r>
        <w:rPr>
          <w:spacing w:val="10"/>
        </w:rPr>
        <w:t>的阶段</w:t>
      </w:r>
    </w:p>
    <w:p>
      <w:pPr>
        <w:pStyle w:val="2"/>
        <w:spacing w:before="1" w:line="220" w:lineRule="auto"/>
        <w:ind w:left="12"/>
      </w:pPr>
      <w:r>
        <w:rPr>
          <w:spacing w:val="7"/>
        </w:rPr>
        <w:t>性目标、任务、举措和实施路径。</w:t>
      </w:r>
    </w:p>
    <w:p>
      <w:pPr>
        <w:pStyle w:val="2"/>
        <w:spacing w:before="188" w:line="222" w:lineRule="auto"/>
        <w:ind w:left="671"/>
        <w:outlineLvl w:val="0"/>
      </w:pPr>
      <w:r>
        <w:rPr>
          <w:spacing w:val="8"/>
          <w14:textOutline w14:w="5793" w14:cap="sq" w14:cmpd="sng">
            <w14:solidFill>
              <w14:srgbClr w14:val="000000"/>
            </w14:solidFill>
            <w14:prstDash w14:val="solid"/>
            <w14:bevel/>
          </w14:textOutline>
        </w:rPr>
        <w:t>3.中小学生减负的路径与机制研究</w:t>
      </w:r>
    </w:p>
    <w:p>
      <w:pPr>
        <w:pStyle w:val="2"/>
        <w:spacing w:before="188" w:line="220" w:lineRule="auto"/>
        <w:ind w:right="14"/>
        <w:jc w:val="right"/>
      </w:pPr>
      <w:r>
        <w:rPr>
          <w:spacing w:val="11"/>
        </w:rPr>
        <w:t>指南意图</w:t>
      </w:r>
      <w:r>
        <w:rPr>
          <w:spacing w:val="-24"/>
        </w:rPr>
        <w:t>：（</w:t>
      </w:r>
      <w:r>
        <w:rPr>
          <w:spacing w:val="11"/>
        </w:rPr>
        <w:t>1）总结</w:t>
      </w:r>
      <w:r>
        <w:rPr>
          <w:spacing w:val="-102"/>
        </w:rPr>
        <w:t xml:space="preserve"> </w:t>
      </w:r>
      <w:r>
        <w:rPr>
          <w:spacing w:val="11"/>
        </w:rPr>
        <w:t>“双减”成效，建立评估指标体系，</w:t>
      </w:r>
    </w:p>
    <w:p>
      <w:pPr>
        <w:pStyle w:val="2"/>
        <w:spacing w:before="192" w:line="220" w:lineRule="auto"/>
        <w:jc w:val="right"/>
      </w:pPr>
      <w:r>
        <w:rPr>
          <w:spacing w:val="24"/>
        </w:rPr>
        <w:t>提交评估报告</w:t>
      </w:r>
      <w:r>
        <w:rPr>
          <w:spacing w:val="-27"/>
        </w:rPr>
        <w:t>；（</w:t>
      </w:r>
      <w:r>
        <w:rPr>
          <w:spacing w:val="24"/>
        </w:rPr>
        <w:t>2）建立合理学业负担的分析</w:t>
      </w:r>
      <w:r>
        <w:rPr>
          <w:spacing w:val="23"/>
        </w:rPr>
        <w:t>框架</w:t>
      </w:r>
      <w:r>
        <w:rPr>
          <w:spacing w:val="-27"/>
        </w:rPr>
        <w:t>；（</w:t>
      </w:r>
      <w:r>
        <w:rPr>
          <w:spacing w:val="23"/>
        </w:rPr>
        <w:t>3）对</w:t>
      </w:r>
    </w:p>
    <w:p>
      <w:pPr>
        <w:spacing w:line="220" w:lineRule="auto"/>
        <w:sectPr>
          <w:footerReference r:id="rId7" w:type="default"/>
          <w:pgSz w:w="11907" w:h="16840"/>
          <w:pgMar w:top="400" w:right="1474" w:bottom="1371" w:left="1592" w:header="0" w:footer="1202" w:gutter="0"/>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00" w:line="333" w:lineRule="auto"/>
        <w:ind w:left="161" w:right="2" w:firstLine="42"/>
        <w:jc w:val="both"/>
      </w:pPr>
      <w:r>
        <w:rPr>
          <w:spacing w:val="13"/>
        </w:rPr>
        <w:t>中小学理科类教材容量、难度进行国际比较</w:t>
      </w:r>
      <w:r>
        <w:rPr>
          <w:spacing w:val="-33"/>
        </w:rPr>
        <w:t>；（</w:t>
      </w:r>
      <w:r>
        <w:rPr>
          <w:spacing w:val="13"/>
        </w:rPr>
        <w:t>4）</w:t>
      </w:r>
      <w:r>
        <w:rPr>
          <w:spacing w:val="12"/>
        </w:rPr>
        <w:t>对中等收入</w:t>
      </w:r>
      <w:r>
        <w:t xml:space="preserve"> </w:t>
      </w:r>
      <w:r>
        <w:rPr>
          <w:spacing w:val="14"/>
        </w:rPr>
        <w:t>群体的子女教育观念和行为开展调查</w:t>
      </w:r>
      <w:r>
        <w:rPr>
          <w:spacing w:val="-27"/>
        </w:rPr>
        <w:t>；（</w:t>
      </w:r>
      <w:r>
        <w:rPr>
          <w:spacing w:val="14"/>
        </w:rPr>
        <w:t>5）揭示不同因素对学</w:t>
      </w:r>
    </w:p>
    <w:p>
      <w:pPr>
        <w:pStyle w:val="2"/>
        <w:spacing w:before="1" w:line="221" w:lineRule="auto"/>
        <w:ind w:left="180"/>
      </w:pPr>
      <w:r>
        <w:rPr>
          <w:spacing w:val="5"/>
        </w:rPr>
        <w:t>业负担的影响机制。</w:t>
      </w:r>
    </w:p>
    <w:p>
      <w:pPr>
        <w:pStyle w:val="2"/>
        <w:spacing w:before="189" w:line="220" w:lineRule="auto"/>
        <w:ind w:left="818"/>
        <w:outlineLvl w:val="0"/>
      </w:pPr>
      <w:r>
        <w:rPr>
          <w:spacing w:val="3"/>
          <w14:textOutline w14:w="5793" w14:cap="sq" w14:cmpd="sng">
            <w14:solidFill>
              <w14:srgbClr w14:val="000000"/>
            </w14:solidFill>
            <w14:prstDash w14:val="solid"/>
            <w14:bevel/>
          </w14:textOutline>
        </w:rPr>
        <w:t>4.</w:t>
      </w:r>
      <w:r>
        <w:rPr>
          <w:spacing w:val="-105"/>
        </w:rPr>
        <w:t xml:space="preserve"> </w:t>
      </w:r>
      <w:r>
        <w:rPr>
          <w:spacing w:val="3"/>
          <w14:textOutline w14:w="5793" w14:cap="sq" w14:cmpd="sng">
            <w14:solidFill>
              <w14:srgbClr w14:val="000000"/>
            </w14:solidFill>
            <w14:prstDash w14:val="solid"/>
            <w14:bevel/>
          </w14:textOutline>
        </w:rPr>
        <w:t>“</w:t>
      </w:r>
      <w:r>
        <w:rPr>
          <w:spacing w:val="-103"/>
        </w:rPr>
        <w:t xml:space="preserve"> </w:t>
      </w:r>
      <w:r>
        <w:rPr>
          <w:spacing w:val="3"/>
          <w14:textOutline w14:w="5793" w14:cap="sq" w14:cmpd="sng">
            <w14:solidFill>
              <w14:srgbClr w14:val="000000"/>
            </w14:solidFill>
            <w14:prstDash w14:val="solid"/>
            <w14:bevel/>
          </w14:textOutline>
        </w:rPr>
        <w:t>中学生英才计划”跟踪评估研究</w:t>
      </w:r>
    </w:p>
    <w:p>
      <w:pPr>
        <w:pStyle w:val="2"/>
        <w:spacing w:before="188" w:line="333" w:lineRule="auto"/>
        <w:ind w:left="180" w:firstLine="630"/>
        <w:jc w:val="both"/>
      </w:pPr>
      <w:r>
        <w:rPr>
          <w:spacing w:val="24"/>
        </w:rPr>
        <w:t>指南意图</w:t>
      </w:r>
      <w:r>
        <w:rPr>
          <w:spacing w:val="-24"/>
        </w:rPr>
        <w:t>：（</w:t>
      </w:r>
      <w:r>
        <w:rPr>
          <w:spacing w:val="24"/>
        </w:rPr>
        <w:t>1）梳理计划的十年发展历史</w:t>
      </w:r>
      <w:r>
        <w:rPr>
          <w:spacing w:val="-24"/>
        </w:rPr>
        <w:t>；（</w:t>
      </w:r>
      <w:r>
        <w:rPr>
          <w:spacing w:val="24"/>
        </w:rPr>
        <w:t>2）对计划</w:t>
      </w:r>
      <w:r>
        <w:rPr>
          <w:spacing w:val="3"/>
        </w:rPr>
        <w:t xml:space="preserve"> </w:t>
      </w:r>
      <w:r>
        <w:rPr>
          <w:spacing w:val="14"/>
        </w:rPr>
        <w:t>的入选者进行口述研究</w:t>
      </w:r>
      <w:r>
        <w:rPr>
          <w:spacing w:val="-33"/>
        </w:rPr>
        <w:t>；（</w:t>
      </w:r>
      <w:r>
        <w:rPr>
          <w:spacing w:val="14"/>
        </w:rPr>
        <w:t>3）跟踪各年度计划的入</w:t>
      </w:r>
      <w:r>
        <w:rPr>
          <w:spacing w:val="13"/>
        </w:rPr>
        <w:t>选者的后续</w:t>
      </w:r>
      <w:r>
        <w:t xml:space="preserve"> </w:t>
      </w:r>
      <w:r>
        <w:rPr>
          <w:spacing w:val="23"/>
        </w:rPr>
        <w:t>职业发展</w:t>
      </w:r>
      <w:r>
        <w:rPr>
          <w:spacing w:val="-26"/>
        </w:rPr>
        <w:t>；（</w:t>
      </w:r>
      <w:r>
        <w:rPr>
          <w:spacing w:val="23"/>
        </w:rPr>
        <w:t>4）建立创新人才培养的评估模型</w:t>
      </w:r>
      <w:r>
        <w:rPr>
          <w:spacing w:val="-26"/>
        </w:rPr>
        <w:t>；（</w:t>
      </w:r>
      <w:r>
        <w:rPr>
          <w:spacing w:val="23"/>
        </w:rPr>
        <w:t>5）提出完</w:t>
      </w:r>
    </w:p>
    <w:p>
      <w:pPr>
        <w:pStyle w:val="2"/>
        <w:spacing w:before="2" w:line="222" w:lineRule="auto"/>
        <w:ind w:left="176"/>
      </w:pPr>
      <w:r>
        <w:rPr>
          <w:spacing w:val="7"/>
        </w:rPr>
        <w:t>善创新人才一贯制培养的政策建议。</w:t>
      </w:r>
    </w:p>
    <w:p>
      <w:pPr>
        <w:pStyle w:val="2"/>
        <w:spacing w:before="187" w:line="222" w:lineRule="auto"/>
        <w:ind w:left="823"/>
        <w:outlineLvl w:val="0"/>
      </w:pPr>
      <w:r>
        <w:rPr>
          <w:spacing w:val="9"/>
          <w14:textOutline w14:w="5793" w14:cap="sq" w14:cmpd="sng">
            <w14:solidFill>
              <w14:srgbClr w14:val="000000"/>
            </w14:solidFill>
            <w14:prstDash w14:val="solid"/>
            <w14:bevel/>
          </w14:textOutline>
        </w:rPr>
        <w:t>5.立足基础教育课改实践的课程教学理论建构研究</w:t>
      </w:r>
    </w:p>
    <w:p>
      <w:pPr>
        <w:pStyle w:val="2"/>
        <w:spacing w:before="189" w:line="333" w:lineRule="auto"/>
        <w:ind w:left="166" w:firstLine="644"/>
        <w:jc w:val="both"/>
      </w:pPr>
      <w:r>
        <w:rPr>
          <w:spacing w:val="17"/>
        </w:rPr>
        <w:t>指南意图</w:t>
      </w:r>
      <w:r>
        <w:rPr>
          <w:spacing w:val="-20"/>
        </w:rPr>
        <w:t>：（</w:t>
      </w:r>
      <w:r>
        <w:rPr>
          <w:spacing w:val="17"/>
        </w:rPr>
        <w:t>1）研究新中国成立</w:t>
      </w:r>
      <w:r>
        <w:rPr>
          <w:spacing w:val="-36"/>
        </w:rPr>
        <w:t xml:space="preserve"> </w:t>
      </w:r>
      <w:r>
        <w:rPr>
          <w:spacing w:val="17"/>
        </w:rPr>
        <w:t>75</w:t>
      </w:r>
      <w:r>
        <w:rPr>
          <w:spacing w:val="-49"/>
        </w:rPr>
        <w:t xml:space="preserve"> </w:t>
      </w:r>
      <w:r>
        <w:rPr>
          <w:spacing w:val="17"/>
        </w:rPr>
        <w:t>周年八次课程改革的</w:t>
      </w:r>
      <w:r>
        <w:t xml:space="preserve"> </w:t>
      </w:r>
      <w:r>
        <w:rPr>
          <w:spacing w:val="14"/>
        </w:rPr>
        <w:t>历史</w:t>
      </w:r>
      <w:r>
        <w:rPr>
          <w:spacing w:val="-29"/>
        </w:rPr>
        <w:t>；（</w:t>
      </w:r>
      <w:r>
        <w:rPr>
          <w:spacing w:val="14"/>
        </w:rPr>
        <w:t>2）反思我国课程教学理论的知识生产、人才培养、教</w:t>
      </w:r>
      <w:r>
        <w:rPr>
          <w:spacing w:val="1"/>
        </w:rPr>
        <w:t xml:space="preserve"> </w:t>
      </w:r>
      <w:r>
        <w:rPr>
          <w:spacing w:val="14"/>
        </w:rPr>
        <w:t>材建设等，形成学科发展报告</w:t>
      </w:r>
      <w:r>
        <w:rPr>
          <w:spacing w:val="-30"/>
        </w:rPr>
        <w:t>；（</w:t>
      </w:r>
      <w:r>
        <w:rPr>
          <w:spacing w:val="14"/>
        </w:rPr>
        <w:t>3）对我国优秀教学成果蕴含</w:t>
      </w:r>
      <w:r>
        <w:rPr>
          <w:spacing w:val="1"/>
        </w:rPr>
        <w:t xml:space="preserve"> </w:t>
      </w:r>
      <w:r>
        <w:rPr>
          <w:spacing w:val="14"/>
        </w:rPr>
        <w:t>的中国经验进行理论化</w:t>
      </w:r>
      <w:r>
        <w:rPr>
          <w:spacing w:val="-29"/>
        </w:rPr>
        <w:t>；（</w:t>
      </w:r>
      <w:r>
        <w:rPr>
          <w:spacing w:val="14"/>
        </w:rPr>
        <w:t>4）对课程教材建设与管理的中国经</w:t>
      </w:r>
      <w:r>
        <w:rPr>
          <w:spacing w:val="1"/>
        </w:rPr>
        <w:t xml:space="preserve"> </w:t>
      </w:r>
      <w:r>
        <w:rPr>
          <w:spacing w:val="14"/>
        </w:rPr>
        <w:t>验进行理论化</w:t>
      </w:r>
      <w:r>
        <w:rPr>
          <w:spacing w:val="-29"/>
        </w:rPr>
        <w:t>；（</w:t>
      </w:r>
      <w:r>
        <w:rPr>
          <w:spacing w:val="14"/>
        </w:rPr>
        <w:t>5）提出中国课程教学领域的标识性概念、原</w:t>
      </w:r>
    </w:p>
    <w:p>
      <w:pPr>
        <w:pStyle w:val="2"/>
        <w:spacing w:line="222" w:lineRule="auto"/>
        <w:ind w:left="159"/>
      </w:pPr>
      <w:r>
        <w:rPr>
          <w:spacing w:val="8"/>
        </w:rPr>
        <w:t>创性理论、体系化知识。</w:t>
      </w:r>
    </w:p>
    <w:p>
      <w:pPr>
        <w:pStyle w:val="2"/>
        <w:spacing w:before="193" w:line="222" w:lineRule="auto"/>
        <w:ind w:left="822"/>
        <w:outlineLvl w:val="0"/>
      </w:pPr>
      <w:r>
        <w:rPr>
          <w:spacing w:val="8"/>
          <w14:textOutline w14:w="5793" w14:cap="sq" w14:cmpd="sng">
            <w14:solidFill>
              <w14:srgbClr w14:val="000000"/>
            </w14:solidFill>
            <w14:prstDash w14:val="solid"/>
            <w14:bevel/>
          </w14:textOutline>
        </w:rPr>
        <w:t>6.县域城乡教育融合发展研究</w:t>
      </w:r>
    </w:p>
    <w:p>
      <w:pPr>
        <w:pStyle w:val="2"/>
        <w:spacing w:before="182" w:line="334" w:lineRule="auto"/>
        <w:ind w:firstLine="810"/>
      </w:pPr>
      <w:r>
        <w:rPr>
          <w:spacing w:val="14"/>
        </w:rPr>
        <w:t>指南意图</w:t>
      </w:r>
      <w:r>
        <w:rPr>
          <w:spacing w:val="-33"/>
        </w:rPr>
        <w:t>：（</w:t>
      </w:r>
      <w:r>
        <w:rPr>
          <w:spacing w:val="14"/>
        </w:rPr>
        <w:t>1）研究乡-城、县城-省城人口和学生流</w:t>
      </w:r>
      <w:r>
        <w:rPr>
          <w:spacing w:val="13"/>
        </w:rPr>
        <w:t>动情</w:t>
      </w:r>
      <w:r>
        <w:rPr>
          <w:spacing w:val="1"/>
        </w:rPr>
        <w:t xml:space="preserve"> </w:t>
      </w:r>
      <w:r>
        <w:rPr>
          <w:spacing w:val="20"/>
        </w:rPr>
        <w:t>况和趋势</w:t>
      </w:r>
      <w:r>
        <w:rPr>
          <w:spacing w:val="-25"/>
        </w:rPr>
        <w:t>；（</w:t>
      </w:r>
      <w:r>
        <w:rPr>
          <w:spacing w:val="20"/>
        </w:rPr>
        <w:t>2）研究提出以县城为重要载体的县域城乡教育融</w:t>
      </w:r>
      <w:r>
        <w:rPr>
          <w:spacing w:val="1"/>
        </w:rPr>
        <w:t xml:space="preserve"> </w:t>
      </w:r>
      <w:r>
        <w:rPr>
          <w:spacing w:val="21"/>
        </w:rPr>
        <w:t>合发展理论模型</w:t>
      </w:r>
      <w:r>
        <w:rPr>
          <w:spacing w:val="-33"/>
        </w:rPr>
        <w:t>；（</w:t>
      </w:r>
      <w:r>
        <w:rPr>
          <w:spacing w:val="21"/>
        </w:rPr>
        <w:t>3）总结乡村小规模学校布</w:t>
      </w:r>
      <w:r>
        <w:rPr>
          <w:spacing w:val="20"/>
        </w:rPr>
        <w:t>局调整模式及各</w:t>
      </w:r>
      <w:r>
        <w:rPr>
          <w:spacing w:val="1"/>
        </w:rPr>
        <w:t xml:space="preserve"> </w:t>
      </w:r>
      <w:r>
        <w:rPr>
          <w:spacing w:val="32"/>
        </w:rPr>
        <w:t>自适用条件</w:t>
      </w:r>
      <w:r>
        <w:rPr>
          <w:spacing w:val="-32"/>
        </w:rPr>
        <w:t>；</w:t>
      </w:r>
      <w:r>
        <w:rPr>
          <w:spacing w:val="-133"/>
        </w:rPr>
        <w:t xml:space="preserve"> </w:t>
      </w:r>
      <w:r>
        <w:rPr>
          <w:spacing w:val="-32"/>
        </w:rPr>
        <w:t>（</w:t>
      </w:r>
      <w:r>
        <w:rPr>
          <w:spacing w:val="32"/>
        </w:rPr>
        <w:t>4）研究提高农村寄宿制学校办学水平举措；</w:t>
      </w:r>
      <w:r>
        <w:t xml:space="preserve"> </w:t>
      </w:r>
      <w:r>
        <w:rPr>
          <w:spacing w:val="12"/>
        </w:rPr>
        <w:t>（5）评估县域城乡义务教育一体化水平</w:t>
      </w:r>
      <w:r>
        <w:rPr>
          <w:spacing w:val="-29"/>
        </w:rPr>
        <w:t>；（</w:t>
      </w:r>
      <w:r>
        <w:rPr>
          <w:spacing w:val="12"/>
        </w:rPr>
        <w:t>6）研究</w:t>
      </w:r>
      <w:r>
        <w:rPr>
          <w:spacing w:val="-102"/>
        </w:rPr>
        <w:t xml:space="preserve"> </w:t>
      </w:r>
      <w:r>
        <w:rPr>
          <w:spacing w:val="12"/>
        </w:rPr>
        <w:t>“县中”发</w:t>
      </w:r>
    </w:p>
    <w:p>
      <w:pPr>
        <w:pStyle w:val="2"/>
        <w:spacing w:before="1" w:line="221" w:lineRule="auto"/>
        <w:jc w:val="right"/>
      </w:pPr>
      <w:r>
        <w:rPr>
          <w:spacing w:val="14"/>
        </w:rPr>
        <w:t>展支持措施</w:t>
      </w:r>
      <w:r>
        <w:rPr>
          <w:spacing w:val="-29"/>
        </w:rPr>
        <w:t>；（</w:t>
      </w:r>
      <w:r>
        <w:rPr>
          <w:spacing w:val="14"/>
        </w:rPr>
        <w:t>7）研究利用信息技术促进城乡教育融合发展的</w:t>
      </w:r>
    </w:p>
    <w:p>
      <w:pPr>
        <w:spacing w:line="221" w:lineRule="auto"/>
        <w:sectPr>
          <w:footerReference r:id="rId8" w:type="default"/>
          <w:pgSz w:w="11907" w:h="16840"/>
          <w:pgMar w:top="400" w:right="1474" w:bottom="1371" w:left="1432" w:header="0" w:footer="1202" w:gutter="0"/>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01" w:line="222" w:lineRule="auto"/>
        <w:ind w:left="173"/>
      </w:pPr>
      <w:r>
        <w:rPr>
          <w:spacing w:val="3"/>
        </w:rPr>
        <w:t>有效路径。</w:t>
      </w:r>
    </w:p>
    <w:p>
      <w:pPr>
        <w:pStyle w:val="2"/>
        <w:spacing w:before="185" w:line="222" w:lineRule="auto"/>
        <w:ind w:left="822"/>
        <w:outlineLvl w:val="0"/>
      </w:pPr>
      <w:r>
        <w:rPr>
          <w:spacing w:val="9"/>
          <w14:textOutline w14:w="5793" w14:cap="sq" w14:cmpd="sng">
            <w14:solidFill>
              <w14:srgbClr w14:val="000000"/>
            </w14:solidFill>
            <w14:prstDash w14:val="solid"/>
            <w14:bevel/>
          </w14:textOutline>
        </w:rPr>
        <w:t>7.基础教育阶段职普融通的路径与机制研究</w:t>
      </w:r>
    </w:p>
    <w:p>
      <w:pPr>
        <w:pStyle w:val="2"/>
        <w:spacing w:before="185" w:line="334" w:lineRule="auto"/>
        <w:ind w:firstLine="810"/>
      </w:pPr>
      <w:r>
        <w:rPr>
          <w:spacing w:val="14"/>
        </w:rPr>
        <w:t>指南意图</w:t>
      </w:r>
      <w:r>
        <w:rPr>
          <w:spacing w:val="-27"/>
        </w:rPr>
        <w:t>：（</w:t>
      </w:r>
      <w:r>
        <w:rPr>
          <w:spacing w:val="14"/>
        </w:rPr>
        <w:t>1）建立职业教育类型定位与职普融通内在一</w:t>
      </w:r>
      <w:r>
        <w:rPr>
          <w:spacing w:val="1"/>
        </w:rPr>
        <w:t xml:space="preserve"> </w:t>
      </w:r>
      <w:r>
        <w:rPr>
          <w:spacing w:val="41"/>
        </w:rPr>
        <w:t>致性解释框架</w:t>
      </w:r>
      <w:r>
        <w:rPr>
          <w:spacing w:val="-25"/>
        </w:rPr>
        <w:t>；</w:t>
      </w:r>
      <w:r>
        <w:rPr>
          <w:spacing w:val="-105"/>
        </w:rPr>
        <w:t xml:space="preserve"> </w:t>
      </w:r>
      <w:r>
        <w:rPr>
          <w:spacing w:val="-25"/>
        </w:rPr>
        <w:t>（</w:t>
      </w:r>
      <w:r>
        <w:rPr>
          <w:spacing w:val="41"/>
        </w:rPr>
        <w:t>2）</w:t>
      </w:r>
      <w:r>
        <w:rPr>
          <w:spacing w:val="-86"/>
        </w:rPr>
        <w:t xml:space="preserve"> </w:t>
      </w:r>
      <w:r>
        <w:rPr>
          <w:spacing w:val="41"/>
        </w:rPr>
        <w:t>研究作为分流机制的中考改革问题；</w:t>
      </w:r>
      <w:r>
        <w:t xml:space="preserve"> </w:t>
      </w:r>
      <w:r>
        <w:rPr>
          <w:spacing w:val="14"/>
        </w:rPr>
        <w:t>（3）调研中等职业教育发展现状，提出转型发展思路</w:t>
      </w:r>
      <w:r>
        <w:rPr>
          <w:spacing w:val="-30"/>
        </w:rPr>
        <w:t>；（</w:t>
      </w:r>
      <w:r>
        <w:rPr>
          <w:spacing w:val="14"/>
        </w:rPr>
        <w:t>4）研</w:t>
      </w:r>
      <w:r>
        <w:rPr>
          <w:spacing w:val="1"/>
        </w:rPr>
        <w:t xml:space="preserve"> </w:t>
      </w:r>
      <w:r>
        <w:rPr>
          <w:spacing w:val="20"/>
        </w:rPr>
        <w:t>究职普学分互认、学籍互转机制</w:t>
      </w:r>
      <w:r>
        <w:rPr>
          <w:spacing w:val="-25"/>
        </w:rPr>
        <w:t>；（</w:t>
      </w:r>
      <w:r>
        <w:rPr>
          <w:spacing w:val="20"/>
        </w:rPr>
        <w:t>5）对综合高中办学实践开</w:t>
      </w:r>
    </w:p>
    <w:p>
      <w:pPr>
        <w:pStyle w:val="2"/>
        <w:spacing w:line="220" w:lineRule="auto"/>
        <w:ind w:left="167"/>
      </w:pPr>
      <w:r>
        <w:rPr>
          <w:spacing w:val="9"/>
        </w:rPr>
        <w:t>展系统调研，研究综合高中的办学标准和督导评估指标体系。</w:t>
      </w:r>
    </w:p>
    <w:p>
      <w:pPr>
        <w:pStyle w:val="2"/>
        <w:spacing w:before="188" w:line="222" w:lineRule="auto"/>
        <w:ind w:left="822"/>
        <w:outlineLvl w:val="0"/>
      </w:pPr>
      <w:r>
        <w:rPr>
          <w:spacing w:val="9"/>
          <w14:textOutline w14:w="5793" w14:cap="sq" w14:cmpd="sng">
            <w14:solidFill>
              <w14:srgbClr w14:val="000000"/>
            </w14:solidFill>
            <w14:prstDash w14:val="solid"/>
            <w14:bevel/>
          </w14:textOutline>
        </w:rPr>
        <w:t>8.高等教育促进新质生产力发展的机制研究</w:t>
      </w:r>
    </w:p>
    <w:p>
      <w:pPr>
        <w:pStyle w:val="2"/>
        <w:spacing w:before="185" w:line="334" w:lineRule="auto"/>
        <w:ind w:left="166" w:firstLine="644"/>
        <w:jc w:val="both"/>
      </w:pPr>
      <w:r>
        <w:rPr>
          <w:spacing w:val="14"/>
        </w:rPr>
        <w:t>指南意图</w:t>
      </w:r>
      <w:r>
        <w:rPr>
          <w:spacing w:val="-27"/>
        </w:rPr>
        <w:t>：（</w:t>
      </w:r>
      <w:r>
        <w:rPr>
          <w:spacing w:val="14"/>
        </w:rPr>
        <w:t>1）分析高等教育促进新质生产力发展的机理</w:t>
      </w:r>
      <w:r>
        <w:rPr>
          <w:spacing w:val="1"/>
        </w:rPr>
        <w:t xml:space="preserve"> </w:t>
      </w:r>
      <w:r>
        <w:rPr>
          <w:spacing w:val="14"/>
        </w:rPr>
        <w:t>与独特价值，建构理论模型</w:t>
      </w:r>
      <w:r>
        <w:rPr>
          <w:spacing w:val="-29"/>
        </w:rPr>
        <w:t>；（</w:t>
      </w:r>
      <w:r>
        <w:rPr>
          <w:spacing w:val="14"/>
        </w:rPr>
        <w:t>2）评估当前高等教育与科技创</w:t>
      </w:r>
      <w:r>
        <w:rPr>
          <w:spacing w:val="1"/>
        </w:rPr>
        <w:t xml:space="preserve"> </w:t>
      </w:r>
      <w:r>
        <w:rPr>
          <w:spacing w:val="14"/>
        </w:rPr>
        <w:t>新、产业变革融通发展的现状</w:t>
      </w:r>
      <w:r>
        <w:rPr>
          <w:spacing w:val="-30"/>
        </w:rPr>
        <w:t>；（</w:t>
      </w:r>
      <w:r>
        <w:rPr>
          <w:spacing w:val="14"/>
        </w:rPr>
        <w:t>3）研究完善高等职业教育产</w:t>
      </w:r>
      <w:r>
        <w:rPr>
          <w:spacing w:val="1"/>
        </w:rPr>
        <w:t xml:space="preserve"> </w:t>
      </w:r>
      <w:r>
        <w:rPr>
          <w:spacing w:val="14"/>
        </w:rPr>
        <w:t>教融合的培养模式</w:t>
      </w:r>
      <w:r>
        <w:rPr>
          <w:spacing w:val="-29"/>
        </w:rPr>
        <w:t>；（</w:t>
      </w:r>
      <w:r>
        <w:rPr>
          <w:spacing w:val="14"/>
        </w:rPr>
        <w:t>4）提出研究生教育规模结构调整、学科</w:t>
      </w:r>
    </w:p>
    <w:p>
      <w:pPr>
        <w:pStyle w:val="2"/>
        <w:spacing w:line="220" w:lineRule="auto"/>
        <w:ind w:left="176"/>
      </w:pPr>
      <w:r>
        <w:rPr>
          <w:spacing w:val="6"/>
        </w:rPr>
        <w:t>专业布局优化的思路。</w:t>
      </w:r>
    </w:p>
    <w:p>
      <w:pPr>
        <w:pStyle w:val="2"/>
        <w:spacing w:before="189" w:line="222" w:lineRule="auto"/>
        <w:ind w:left="822"/>
        <w:outlineLvl w:val="0"/>
      </w:pPr>
      <w:r>
        <w:rPr>
          <w:spacing w:val="8"/>
          <w14:textOutline w14:w="5793" w14:cap="sq" w14:cmpd="sng">
            <w14:solidFill>
              <w14:srgbClr w14:val="000000"/>
            </w14:solidFill>
            <w14:prstDash w14:val="solid"/>
            <w14:bevel/>
          </w14:textOutline>
        </w:rPr>
        <w:t>9.高等教育人才供需适配机制研究</w:t>
      </w:r>
    </w:p>
    <w:p>
      <w:pPr>
        <w:pStyle w:val="2"/>
        <w:spacing w:before="184" w:line="334" w:lineRule="auto"/>
        <w:ind w:firstLine="810"/>
      </w:pPr>
      <w:r>
        <w:rPr>
          <w:spacing w:val="28"/>
        </w:rPr>
        <w:t>指南意图</w:t>
      </w:r>
      <w:r>
        <w:rPr>
          <w:spacing w:val="-39"/>
        </w:rPr>
        <w:t>：（</w:t>
      </w:r>
      <w:r>
        <w:rPr>
          <w:spacing w:val="28"/>
        </w:rPr>
        <w:t>1）分析我国高等教育人才供需适配现状；</w:t>
      </w:r>
      <w:r>
        <w:rPr>
          <w:spacing w:val="1"/>
        </w:rPr>
        <w:t xml:space="preserve"> </w:t>
      </w:r>
      <w:r>
        <w:rPr>
          <w:spacing w:val="14"/>
        </w:rPr>
        <w:t>（2）研究西方主要发达国家高等教育人才供需适配方式</w:t>
      </w:r>
      <w:r>
        <w:rPr>
          <w:spacing w:val="-32"/>
        </w:rPr>
        <w:t>；（</w:t>
      </w:r>
      <w:r>
        <w:rPr>
          <w:spacing w:val="14"/>
        </w:rPr>
        <w:t>3）</w:t>
      </w:r>
      <w:r>
        <w:t xml:space="preserve"> </w:t>
      </w:r>
      <w:r>
        <w:rPr>
          <w:spacing w:val="21"/>
        </w:rPr>
        <w:t>分析国际人才竞争态势</w:t>
      </w:r>
      <w:r>
        <w:rPr>
          <w:spacing w:val="-33"/>
        </w:rPr>
        <w:t>；（</w:t>
      </w:r>
      <w:r>
        <w:rPr>
          <w:spacing w:val="21"/>
        </w:rPr>
        <w:t>4）分析我国战略人</w:t>
      </w:r>
      <w:r>
        <w:rPr>
          <w:spacing w:val="20"/>
        </w:rPr>
        <w:t>才、科技领军人</w:t>
      </w:r>
      <w:r>
        <w:rPr>
          <w:spacing w:val="1"/>
        </w:rPr>
        <w:t xml:space="preserve"> </w:t>
      </w:r>
      <w:r>
        <w:rPr>
          <w:spacing w:val="20"/>
        </w:rPr>
        <w:t>才、青年科技人才、卓越工程师等人才发展趋势</w:t>
      </w:r>
      <w:r>
        <w:rPr>
          <w:spacing w:val="-25"/>
        </w:rPr>
        <w:t>；（</w:t>
      </w:r>
      <w:r>
        <w:rPr>
          <w:spacing w:val="20"/>
        </w:rPr>
        <w:t>5）提出高</w:t>
      </w:r>
      <w:r>
        <w:rPr>
          <w:spacing w:val="1"/>
        </w:rPr>
        <w:t xml:space="preserve"> </w:t>
      </w:r>
      <w:r>
        <w:rPr>
          <w:spacing w:val="20"/>
        </w:rPr>
        <w:t>等教育学科设置动态调整优化建议</w:t>
      </w:r>
      <w:r>
        <w:rPr>
          <w:spacing w:val="-25"/>
        </w:rPr>
        <w:t>；（</w:t>
      </w:r>
      <w:r>
        <w:rPr>
          <w:spacing w:val="20"/>
        </w:rPr>
        <w:t>6）提出国家人才供需对</w:t>
      </w:r>
    </w:p>
    <w:p>
      <w:pPr>
        <w:pStyle w:val="2"/>
        <w:spacing w:line="222" w:lineRule="auto"/>
        <w:ind w:left="166"/>
      </w:pPr>
      <w:r>
        <w:rPr>
          <w:spacing w:val="7"/>
        </w:rPr>
        <w:t>接数据库建设方案。</w:t>
      </w:r>
    </w:p>
    <w:p>
      <w:pPr>
        <w:pStyle w:val="2"/>
        <w:spacing w:before="182" w:line="224" w:lineRule="auto"/>
        <w:ind w:left="827"/>
        <w:outlineLvl w:val="0"/>
      </w:pPr>
      <w:r>
        <w:rPr>
          <w:spacing w:val="9"/>
          <w14:textOutline w14:w="5793" w14:cap="sq" w14:cmpd="sng">
            <w14:solidFill>
              <w14:srgbClr w14:val="000000"/>
            </w14:solidFill>
            <w14:prstDash w14:val="solid"/>
            <w14:bevel/>
          </w14:textOutline>
        </w:rPr>
        <w:t>10.大科学时代高校高层次人才集聚模式创新</w:t>
      </w:r>
      <w:r>
        <w:rPr>
          <w:spacing w:val="8"/>
          <w14:textOutline w14:w="5793" w14:cap="sq" w14:cmpd="sng">
            <w14:solidFill>
              <w14:srgbClr w14:val="000000"/>
            </w14:solidFill>
            <w14:prstDash w14:val="solid"/>
            <w14:bevel/>
          </w14:textOutline>
        </w:rPr>
        <w:t>研究</w:t>
      </w:r>
    </w:p>
    <w:p>
      <w:pPr>
        <w:pStyle w:val="2"/>
        <w:spacing w:before="189" w:line="222" w:lineRule="auto"/>
        <w:jc w:val="right"/>
      </w:pPr>
      <w:r>
        <w:rPr>
          <w:spacing w:val="14"/>
        </w:rPr>
        <w:t>指南意图</w:t>
      </w:r>
      <w:r>
        <w:rPr>
          <w:spacing w:val="-27"/>
        </w:rPr>
        <w:t>：（</w:t>
      </w:r>
      <w:r>
        <w:rPr>
          <w:spacing w:val="14"/>
        </w:rPr>
        <w:t>1）分析当前我国高校高层次人才集聚模式的</w:t>
      </w:r>
    </w:p>
    <w:p>
      <w:pPr>
        <w:spacing w:line="222" w:lineRule="auto"/>
        <w:sectPr>
          <w:footerReference r:id="rId9" w:type="default"/>
          <w:pgSz w:w="11907" w:h="16840"/>
          <w:pgMar w:top="400" w:right="1474" w:bottom="1371" w:left="1432" w:header="0" w:footer="1202" w:gutter="0"/>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
        <w:spacing w:before="101" w:line="333" w:lineRule="auto"/>
        <w:ind w:left="179" w:hanging="3"/>
      </w:pPr>
      <w:r>
        <w:rPr>
          <w:spacing w:val="23"/>
        </w:rPr>
        <w:t>现状</w:t>
      </w:r>
      <w:r>
        <w:rPr>
          <w:spacing w:val="-26"/>
        </w:rPr>
        <w:t>；（</w:t>
      </w:r>
      <w:r>
        <w:rPr>
          <w:spacing w:val="23"/>
        </w:rPr>
        <w:t>2）研究国际著名高校高层次人才集聚的模式</w:t>
      </w:r>
      <w:r>
        <w:rPr>
          <w:spacing w:val="-26"/>
        </w:rPr>
        <w:t>；（</w:t>
      </w:r>
      <w:r>
        <w:rPr>
          <w:spacing w:val="23"/>
        </w:rPr>
        <w:t>3）</w:t>
      </w:r>
      <w:r>
        <w:t xml:space="preserve"> </w:t>
      </w:r>
      <w:r>
        <w:rPr>
          <w:spacing w:val="14"/>
        </w:rPr>
        <w:t>我国高校发起大科学计划集聚高层次人才的案例</w:t>
      </w:r>
      <w:r>
        <w:rPr>
          <w:spacing w:val="13"/>
        </w:rPr>
        <w:t>分析</w:t>
      </w:r>
      <w:r>
        <w:rPr>
          <w:spacing w:val="-33"/>
        </w:rPr>
        <w:t>；（</w:t>
      </w:r>
      <w:r>
        <w:rPr>
          <w:spacing w:val="13"/>
        </w:rPr>
        <w:t>4）对</w:t>
      </w:r>
      <w:r>
        <w:rPr>
          <w:spacing w:val="1"/>
        </w:rPr>
        <w:t xml:space="preserve"> </w:t>
      </w:r>
      <w:r>
        <w:rPr>
          <w:spacing w:val="13"/>
        </w:rPr>
        <w:t>高校科研环境与国际高层次人才流动进行相关分析</w:t>
      </w:r>
      <w:r>
        <w:rPr>
          <w:spacing w:val="-24"/>
        </w:rPr>
        <w:t>；（</w:t>
      </w:r>
      <w:r>
        <w:rPr>
          <w:spacing w:val="13"/>
        </w:rPr>
        <w:t>5）提出</w:t>
      </w:r>
      <w:r>
        <w:rPr>
          <w:spacing w:val="1"/>
        </w:rPr>
        <w:t xml:space="preserve"> </w:t>
      </w:r>
      <w:r>
        <w:rPr>
          <w:spacing w:val="16"/>
        </w:rPr>
        <w:t>大科学时代高校在参与人才高地过程中集聚高层次人才的创新</w:t>
      </w:r>
    </w:p>
    <w:p>
      <w:pPr>
        <w:pStyle w:val="2"/>
        <w:spacing w:line="223" w:lineRule="auto"/>
        <w:ind w:left="162"/>
      </w:pPr>
      <w:r>
        <w:rPr>
          <w:spacing w:val="3"/>
        </w:rPr>
        <w:t>模式。</w:t>
      </w:r>
    </w:p>
    <w:p>
      <w:pPr>
        <w:pStyle w:val="2"/>
        <w:spacing w:before="184" w:line="220" w:lineRule="auto"/>
        <w:ind w:left="827"/>
        <w:outlineLvl w:val="0"/>
      </w:pPr>
      <w:r>
        <w:rPr>
          <w:spacing w:val="8"/>
          <w14:textOutline w14:w="5793" w14:cap="sq" w14:cmpd="sng">
            <w14:solidFill>
              <w14:srgbClr w14:val="000000"/>
            </w14:solidFill>
            <w14:prstDash w14:val="solid"/>
            <w14:bevel/>
          </w14:textOutline>
        </w:rPr>
        <w:t>11.全球数字教育发展水平评估研究</w:t>
      </w:r>
    </w:p>
    <w:p>
      <w:pPr>
        <w:pStyle w:val="2"/>
        <w:spacing w:before="194" w:line="333" w:lineRule="auto"/>
        <w:ind w:left="176" w:firstLine="634"/>
        <w:jc w:val="both"/>
      </w:pPr>
      <w:r>
        <w:rPr>
          <w:spacing w:val="14"/>
        </w:rPr>
        <w:t>指南意图</w:t>
      </w:r>
      <w:r>
        <w:rPr>
          <w:spacing w:val="-27"/>
        </w:rPr>
        <w:t>：（</w:t>
      </w:r>
      <w:r>
        <w:rPr>
          <w:spacing w:val="14"/>
        </w:rPr>
        <w:t>1）建构全球数字教育发展水平的评价指标体</w:t>
      </w:r>
      <w:r>
        <w:rPr>
          <w:spacing w:val="1"/>
        </w:rPr>
        <w:t xml:space="preserve"> </w:t>
      </w:r>
      <w:r>
        <w:rPr>
          <w:spacing w:val="23"/>
        </w:rPr>
        <w:t>系</w:t>
      </w:r>
      <w:r>
        <w:rPr>
          <w:spacing w:val="-25"/>
        </w:rPr>
        <w:t>；（</w:t>
      </w:r>
      <w:r>
        <w:rPr>
          <w:spacing w:val="23"/>
        </w:rPr>
        <w:t>2）综合测算全球数字教育发展水平指数</w:t>
      </w:r>
      <w:r>
        <w:rPr>
          <w:spacing w:val="-25"/>
        </w:rPr>
        <w:t>；（</w:t>
      </w:r>
      <w:r>
        <w:rPr>
          <w:spacing w:val="23"/>
        </w:rPr>
        <w:t>3）分学段</w:t>
      </w:r>
      <w:r>
        <w:t xml:space="preserve"> </w:t>
      </w:r>
      <w:r>
        <w:rPr>
          <w:spacing w:val="14"/>
        </w:rPr>
        <w:t>测算全球数字教育发展水平指数</w:t>
      </w:r>
      <w:r>
        <w:rPr>
          <w:spacing w:val="-33"/>
        </w:rPr>
        <w:t>；（</w:t>
      </w:r>
      <w:r>
        <w:rPr>
          <w:spacing w:val="14"/>
        </w:rPr>
        <w:t>4）总结全球数字</w:t>
      </w:r>
      <w:r>
        <w:rPr>
          <w:spacing w:val="13"/>
        </w:rPr>
        <w:t>教育发展</w:t>
      </w:r>
    </w:p>
    <w:p>
      <w:pPr>
        <w:pStyle w:val="2"/>
        <w:spacing w:line="222" w:lineRule="auto"/>
        <w:ind w:left="193"/>
      </w:pPr>
      <w:r>
        <w:rPr>
          <w:spacing w:val="11"/>
        </w:rPr>
        <w:t>的国际经验</w:t>
      </w:r>
      <w:r>
        <w:rPr>
          <w:spacing w:val="-31"/>
        </w:rPr>
        <w:t>；（</w:t>
      </w:r>
      <w:r>
        <w:rPr>
          <w:spacing w:val="11"/>
        </w:rPr>
        <w:t>5）提出我国数字教育深入发展的政策建议。</w:t>
      </w:r>
    </w:p>
    <w:p>
      <w:pPr>
        <w:pStyle w:val="2"/>
        <w:spacing w:before="185" w:line="222" w:lineRule="auto"/>
        <w:ind w:left="827"/>
        <w:outlineLvl w:val="0"/>
      </w:pPr>
      <w:r>
        <w:rPr>
          <w:spacing w:val="7"/>
          <w14:textOutline w14:w="5793" w14:cap="sq" w14:cmpd="sng">
            <w14:solidFill>
              <w14:srgbClr w14:val="000000"/>
            </w14:solidFill>
            <w14:prstDash w14:val="solid"/>
            <w14:bevel/>
          </w14:textOutline>
        </w:rPr>
        <w:t>12.技术维度的教育变革史研究</w:t>
      </w:r>
    </w:p>
    <w:p>
      <w:pPr>
        <w:pStyle w:val="2"/>
        <w:spacing w:before="190" w:line="333" w:lineRule="auto"/>
        <w:ind w:firstLine="810"/>
      </w:pPr>
      <w:r>
        <w:rPr>
          <w:spacing w:val="14"/>
        </w:rPr>
        <w:t>指南意图</w:t>
      </w:r>
      <w:r>
        <w:rPr>
          <w:spacing w:val="-27"/>
        </w:rPr>
        <w:t>：（</w:t>
      </w:r>
      <w:r>
        <w:rPr>
          <w:spacing w:val="14"/>
        </w:rPr>
        <w:t>1）研究教育领域从口传到人工智能的技术演</w:t>
      </w:r>
      <w:r>
        <w:rPr>
          <w:spacing w:val="1"/>
        </w:rPr>
        <w:t xml:space="preserve"> </w:t>
      </w:r>
      <w:r>
        <w:rPr>
          <w:spacing w:val="32"/>
        </w:rPr>
        <w:t>进史</w:t>
      </w:r>
      <w:r>
        <w:rPr>
          <w:spacing w:val="-32"/>
        </w:rPr>
        <w:t>；</w:t>
      </w:r>
      <w:r>
        <w:rPr>
          <w:spacing w:val="-129"/>
        </w:rPr>
        <w:t xml:space="preserve"> </w:t>
      </w:r>
      <w:r>
        <w:rPr>
          <w:spacing w:val="-32"/>
        </w:rPr>
        <w:t>（</w:t>
      </w:r>
      <w:r>
        <w:rPr>
          <w:spacing w:val="32"/>
        </w:rPr>
        <w:t>2）研究不同时期技术对教育产生影响的具</w:t>
      </w:r>
      <w:r>
        <w:rPr>
          <w:spacing w:val="31"/>
        </w:rPr>
        <w:t>体过程；</w:t>
      </w:r>
      <w:r>
        <w:t xml:space="preserve"> </w:t>
      </w:r>
      <w:r>
        <w:rPr>
          <w:spacing w:val="14"/>
        </w:rPr>
        <w:t>（3）研究不同时期技术对教育形态的改变</w:t>
      </w:r>
      <w:r>
        <w:rPr>
          <w:spacing w:val="-30"/>
        </w:rPr>
        <w:t>；（</w:t>
      </w:r>
      <w:r>
        <w:rPr>
          <w:spacing w:val="14"/>
        </w:rPr>
        <w:t>4）揭示技术改变</w:t>
      </w:r>
    </w:p>
    <w:p>
      <w:pPr>
        <w:pStyle w:val="2"/>
        <w:spacing w:line="222" w:lineRule="auto"/>
        <w:ind w:left="166"/>
      </w:pPr>
      <w:r>
        <w:rPr>
          <w:spacing w:val="5"/>
        </w:rPr>
        <w:t>教育的机理。</w:t>
      </w:r>
    </w:p>
    <w:p>
      <w:pPr>
        <w:pStyle w:val="2"/>
        <w:spacing w:before="189" w:line="220" w:lineRule="auto"/>
        <w:ind w:left="827"/>
        <w:outlineLvl w:val="0"/>
      </w:pPr>
      <w:r>
        <w:rPr>
          <w:spacing w:val="8"/>
          <w14:textOutline w14:w="5793" w14:cap="sq" w14:cmpd="sng">
            <w14:solidFill>
              <w14:srgbClr w14:val="000000"/>
            </w14:solidFill>
            <w14:prstDash w14:val="solid"/>
            <w14:bevel/>
          </w14:textOutline>
        </w:rPr>
        <w:t>13.支撑教育强国建设的战略性投入机制研究</w:t>
      </w:r>
    </w:p>
    <w:p>
      <w:pPr>
        <w:pStyle w:val="2"/>
        <w:spacing w:before="186" w:line="334" w:lineRule="auto"/>
        <w:ind w:left="168" w:firstLine="642"/>
      </w:pPr>
      <w:r>
        <w:rPr>
          <w:spacing w:val="24"/>
        </w:rPr>
        <w:t>指南意图</w:t>
      </w:r>
      <w:r>
        <w:rPr>
          <w:spacing w:val="-24"/>
        </w:rPr>
        <w:t>：（</w:t>
      </w:r>
      <w:r>
        <w:rPr>
          <w:spacing w:val="24"/>
        </w:rPr>
        <w:t>1）分析现行教育投入政策及其效应</w:t>
      </w:r>
      <w:r>
        <w:rPr>
          <w:spacing w:val="-24"/>
        </w:rPr>
        <w:t>；（</w:t>
      </w:r>
      <w:r>
        <w:rPr>
          <w:spacing w:val="24"/>
        </w:rPr>
        <w:t>2）</w:t>
      </w:r>
      <w:r>
        <w:rPr>
          <w:spacing w:val="1"/>
        </w:rPr>
        <w:t xml:space="preserve"> </w:t>
      </w:r>
      <w:r>
        <w:rPr>
          <w:spacing w:val="14"/>
        </w:rPr>
        <w:t>比较人口大国宏观税负水平</w:t>
      </w:r>
      <w:r>
        <w:rPr>
          <w:spacing w:val="-31"/>
        </w:rPr>
        <w:t>；（</w:t>
      </w:r>
      <w:r>
        <w:rPr>
          <w:spacing w:val="14"/>
        </w:rPr>
        <w:t>3）研究当前世界教育强国总投</w:t>
      </w:r>
      <w:r>
        <w:t xml:space="preserve"> </w:t>
      </w:r>
      <w:r>
        <w:rPr>
          <w:spacing w:val="17"/>
        </w:rPr>
        <w:t>入和财政投入情况</w:t>
      </w:r>
      <w:r>
        <w:rPr>
          <w:spacing w:val="-27"/>
        </w:rPr>
        <w:t>；（</w:t>
      </w:r>
      <w:r>
        <w:rPr>
          <w:spacing w:val="17"/>
        </w:rPr>
        <w:t>4）结合未来</w:t>
      </w:r>
      <w:r>
        <w:rPr>
          <w:spacing w:val="-32"/>
        </w:rPr>
        <w:t xml:space="preserve"> </w:t>
      </w:r>
      <w:r>
        <w:rPr>
          <w:spacing w:val="17"/>
        </w:rPr>
        <w:t>12</w:t>
      </w:r>
      <w:r>
        <w:rPr>
          <w:spacing w:val="-46"/>
        </w:rPr>
        <w:t xml:space="preserve"> </w:t>
      </w:r>
      <w:r>
        <w:rPr>
          <w:spacing w:val="17"/>
        </w:rPr>
        <w:t>年我国人口</w:t>
      </w:r>
      <w:r>
        <w:rPr>
          <w:spacing w:val="16"/>
        </w:rPr>
        <w:t>、经济、社</w:t>
      </w:r>
      <w:r>
        <w:t xml:space="preserve"> </w:t>
      </w:r>
      <w:r>
        <w:rPr>
          <w:spacing w:val="17"/>
        </w:rPr>
        <w:t>会、财政等发展趋势，论证提出新的教育投入强度目标、</w:t>
      </w:r>
      <w:r>
        <w:rPr>
          <w:spacing w:val="16"/>
        </w:rPr>
        <w:t>投入</w:t>
      </w:r>
      <w:r>
        <w:t xml:space="preserve"> </w:t>
      </w:r>
      <w:r>
        <w:rPr>
          <w:spacing w:val="14"/>
        </w:rPr>
        <w:t>结构;（5）细化建设周期重大节点的阶段</w:t>
      </w:r>
      <w:r>
        <w:rPr>
          <w:spacing w:val="13"/>
        </w:rPr>
        <w:t>性投入目标</w:t>
      </w:r>
      <w:r>
        <w:rPr>
          <w:spacing w:val="-33"/>
        </w:rPr>
        <w:t>；（</w:t>
      </w:r>
      <w:r>
        <w:rPr>
          <w:spacing w:val="13"/>
        </w:rPr>
        <w:t>6）提</w:t>
      </w:r>
    </w:p>
    <w:p>
      <w:pPr>
        <w:pStyle w:val="2"/>
        <w:spacing w:before="1" w:line="221" w:lineRule="auto"/>
        <w:ind w:left="207"/>
      </w:pPr>
      <w:r>
        <w:rPr>
          <w:spacing w:val="4"/>
        </w:rPr>
        <w:t>出完善与</w:t>
      </w:r>
      <w:r>
        <w:rPr>
          <w:spacing w:val="-43"/>
        </w:rPr>
        <w:t xml:space="preserve"> </w:t>
      </w:r>
      <w:r>
        <w:t>GDP</w:t>
      </w:r>
      <w:r>
        <w:rPr>
          <w:spacing w:val="-32"/>
        </w:rPr>
        <w:t xml:space="preserve"> </w:t>
      </w:r>
      <w:r>
        <w:rPr>
          <w:spacing w:val="4"/>
        </w:rPr>
        <w:t>同步增长的财政教育投入机制的建议。</w:t>
      </w:r>
    </w:p>
    <w:p>
      <w:pPr>
        <w:spacing w:line="221" w:lineRule="auto"/>
        <w:sectPr>
          <w:footerReference r:id="rId10" w:type="default"/>
          <w:pgSz w:w="11907" w:h="16840"/>
          <w:pgMar w:top="400" w:right="1474" w:bottom="1371" w:left="1432" w:header="0" w:footer="1202" w:gutter="0"/>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01" w:line="222" w:lineRule="auto"/>
        <w:ind w:left="663"/>
        <w:outlineLvl w:val="0"/>
      </w:pPr>
      <w:r>
        <w:rPr>
          <w:spacing w:val="7"/>
          <w14:textOutline w14:w="5793" w14:cap="sq" w14:cmpd="sng">
            <w14:solidFill>
              <w14:srgbClr w14:val="000000"/>
            </w14:solidFill>
            <w14:prstDash w14:val="solid"/>
            <w14:bevel/>
          </w14:textOutline>
        </w:rPr>
        <w:t>14.世界重要教育中心建设研究</w:t>
      </w:r>
    </w:p>
    <w:p>
      <w:pPr>
        <w:pStyle w:val="2"/>
        <w:spacing w:before="188" w:line="333" w:lineRule="auto"/>
        <w:ind w:firstLine="647"/>
        <w:jc w:val="both"/>
      </w:pPr>
      <w:r>
        <w:rPr>
          <w:spacing w:val="14"/>
        </w:rPr>
        <w:t>指南意图</w:t>
      </w:r>
      <w:r>
        <w:rPr>
          <w:spacing w:val="-27"/>
        </w:rPr>
        <w:t>：（</w:t>
      </w:r>
      <w:r>
        <w:rPr>
          <w:spacing w:val="14"/>
        </w:rPr>
        <w:t>1）研究世界重要教育中心的基本内涵与判断</w:t>
      </w:r>
      <w:r>
        <w:rPr>
          <w:spacing w:val="1"/>
        </w:rPr>
        <w:t xml:space="preserve"> </w:t>
      </w:r>
      <w:r>
        <w:rPr>
          <w:spacing w:val="24"/>
        </w:rPr>
        <w:t>标准</w:t>
      </w:r>
      <w:r>
        <w:rPr>
          <w:spacing w:val="-27"/>
        </w:rPr>
        <w:t>；（</w:t>
      </w:r>
      <w:r>
        <w:rPr>
          <w:spacing w:val="24"/>
        </w:rPr>
        <w:t>2）研究世界重要教育中心的发展历史</w:t>
      </w:r>
      <w:r>
        <w:rPr>
          <w:spacing w:val="-27"/>
        </w:rPr>
        <w:t>；（</w:t>
      </w:r>
      <w:r>
        <w:rPr>
          <w:spacing w:val="23"/>
        </w:rPr>
        <w:t>3）研究世</w:t>
      </w:r>
      <w:r>
        <w:rPr>
          <w:spacing w:val="2"/>
        </w:rPr>
        <w:t xml:space="preserve"> </w:t>
      </w:r>
      <w:r>
        <w:rPr>
          <w:spacing w:val="14"/>
        </w:rPr>
        <w:t>界重要教育中心与科技中心、人才中心的关系</w:t>
      </w:r>
      <w:r>
        <w:rPr>
          <w:spacing w:val="-29"/>
        </w:rPr>
        <w:t>；（</w:t>
      </w:r>
      <w:r>
        <w:rPr>
          <w:spacing w:val="14"/>
        </w:rPr>
        <w:t>4）研究世界</w:t>
      </w:r>
      <w:r>
        <w:rPr>
          <w:spacing w:val="1"/>
        </w:rPr>
        <w:t xml:space="preserve"> </w:t>
      </w:r>
      <w:r>
        <w:rPr>
          <w:spacing w:val="14"/>
        </w:rPr>
        <w:t>重要教育中心形成过程中的重大政策和关键举措</w:t>
      </w:r>
      <w:r>
        <w:rPr>
          <w:spacing w:val="-29"/>
        </w:rPr>
        <w:t>；（</w:t>
      </w:r>
      <w:r>
        <w:rPr>
          <w:spacing w:val="14"/>
        </w:rPr>
        <w:t>5）提出我</w:t>
      </w:r>
    </w:p>
    <w:p>
      <w:pPr>
        <w:pStyle w:val="2"/>
        <w:spacing w:line="222" w:lineRule="auto"/>
        <w:ind w:left="29"/>
      </w:pPr>
      <w:r>
        <w:rPr>
          <w:spacing w:val="6"/>
        </w:rPr>
        <w:t>国建设世界重要教育中心的综合方案。</w:t>
      </w:r>
    </w:p>
    <w:p>
      <w:pPr>
        <w:spacing w:line="222" w:lineRule="auto"/>
        <w:sectPr>
          <w:footerReference r:id="rId11" w:type="default"/>
          <w:pgSz w:w="11907" w:h="16840"/>
          <w:pgMar w:top="400" w:right="1474" w:bottom="1371" w:left="1596" w:header="0" w:footer="1202" w:gutter="0"/>
          <w:cols w:space="720" w:num="1"/>
        </w:sect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98" w:line="224" w:lineRule="auto"/>
        <w:rPr>
          <w:rFonts w:ascii="黑体" w:hAnsi="黑体" w:eastAsia="黑体" w:cs="黑体"/>
          <w:sz w:val="30"/>
          <w:szCs w:val="30"/>
        </w:rPr>
      </w:pPr>
      <w:r>
        <w:rPr>
          <w:rFonts w:ascii="黑体" w:hAnsi="黑体" w:eastAsia="黑体" w:cs="黑体"/>
          <w:spacing w:val="-13"/>
          <w:sz w:val="30"/>
          <w:szCs w:val="30"/>
        </w:rPr>
        <w:t>附件</w:t>
      </w:r>
      <w:r>
        <w:rPr>
          <w:rFonts w:ascii="黑体" w:hAnsi="黑体" w:eastAsia="黑体" w:cs="黑体"/>
          <w:spacing w:val="-81"/>
          <w:sz w:val="30"/>
          <w:szCs w:val="30"/>
        </w:rPr>
        <w:t xml:space="preserve"> </w:t>
      </w:r>
      <w:r>
        <w:rPr>
          <w:rFonts w:ascii="黑体" w:hAnsi="黑体" w:eastAsia="黑体" w:cs="黑体"/>
          <w:spacing w:val="-13"/>
          <w:sz w:val="30"/>
          <w:szCs w:val="30"/>
        </w:rPr>
        <w:t>2</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100" w:line="228" w:lineRule="auto"/>
        <w:ind w:left="6"/>
        <w:rPr>
          <w:rFonts w:ascii="黑体" w:hAnsi="黑体" w:eastAsia="黑体" w:cs="黑体"/>
          <w:sz w:val="31"/>
          <w:szCs w:val="31"/>
        </w:rPr>
      </w:pPr>
      <w:r>
        <w:rPr>
          <w:rFonts w:ascii="黑体" w:hAnsi="黑体" w:eastAsia="黑体" w:cs="黑体"/>
          <w:spacing w:val="6"/>
          <w:sz w:val="31"/>
          <w:szCs w:val="31"/>
        </w:rPr>
        <w:t>招标选题序号：</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40" w:line="225" w:lineRule="auto"/>
        <w:ind w:left="1934"/>
        <w:rPr>
          <w:rFonts w:ascii="黑体" w:hAnsi="黑体" w:eastAsia="黑体" w:cs="黑体"/>
          <w:sz w:val="43"/>
          <w:szCs w:val="43"/>
        </w:rPr>
      </w:pPr>
      <w:r>
        <w:rPr>
          <w:rFonts w:ascii="黑体" w:hAnsi="黑体" w:eastAsia="黑体" w:cs="黑体"/>
          <w:spacing w:val="5"/>
          <w:sz w:val="43"/>
          <w:szCs w:val="43"/>
        </w:rPr>
        <w:t>2024</w:t>
      </w:r>
      <w:r>
        <w:rPr>
          <w:rFonts w:ascii="黑体" w:hAnsi="黑体" w:eastAsia="黑体" w:cs="黑体"/>
          <w:spacing w:val="-77"/>
          <w:sz w:val="43"/>
          <w:szCs w:val="43"/>
        </w:rPr>
        <w:t xml:space="preserve"> </w:t>
      </w:r>
      <w:r>
        <w:rPr>
          <w:rFonts w:ascii="黑体" w:hAnsi="黑体" w:eastAsia="黑体" w:cs="黑体"/>
          <w:spacing w:val="5"/>
          <w:sz w:val="43"/>
          <w:szCs w:val="43"/>
        </w:rPr>
        <w:t>年国家社会科学基金</w:t>
      </w:r>
    </w:p>
    <w:p>
      <w:pPr>
        <w:spacing w:before="15" w:line="225" w:lineRule="auto"/>
        <w:ind w:left="2207"/>
        <w:rPr>
          <w:rFonts w:ascii="黑体" w:hAnsi="黑体" w:eastAsia="黑体" w:cs="黑体"/>
          <w:sz w:val="43"/>
          <w:szCs w:val="43"/>
        </w:rPr>
      </w:pPr>
      <w:r>
        <w:rPr>
          <w:rFonts w:ascii="黑体" w:hAnsi="黑体" w:eastAsia="黑体" w:cs="黑体"/>
          <w:spacing w:val="8"/>
          <w:sz w:val="43"/>
          <w:szCs w:val="43"/>
        </w:rPr>
        <w:t>教育学重大项目投标书</w:t>
      </w:r>
    </w:p>
    <w:p>
      <w:pPr>
        <w:spacing w:line="268" w:lineRule="auto"/>
        <w:rPr>
          <w:rFonts w:ascii="Arial"/>
          <w:sz w:val="21"/>
        </w:rPr>
      </w:pPr>
    </w:p>
    <w:p>
      <w:pPr>
        <w:spacing w:line="269" w:lineRule="auto"/>
        <w:rPr>
          <w:rFonts w:ascii="Arial"/>
          <w:sz w:val="21"/>
        </w:rPr>
      </w:pPr>
    </w:p>
    <w:p>
      <w:pPr>
        <w:pStyle w:val="2"/>
        <w:spacing w:before="114" w:line="226" w:lineRule="auto"/>
        <w:ind w:left="1274"/>
        <w:rPr>
          <w:sz w:val="35"/>
          <w:szCs w:val="35"/>
        </w:rPr>
      </w:pPr>
      <w:r>
        <w:rPr>
          <w:spacing w:val="7"/>
          <w:sz w:val="35"/>
          <w:szCs w:val="35"/>
        </w:rPr>
        <w:t>（招标书表格请登录全规办网站下载）</w:t>
      </w:r>
    </w:p>
    <w:p>
      <w:pPr>
        <w:spacing w:line="226" w:lineRule="auto"/>
        <w:rPr>
          <w:sz w:val="35"/>
          <w:szCs w:val="35"/>
        </w:rPr>
        <w:sectPr>
          <w:footerReference r:id="rId12" w:type="default"/>
          <w:pgSz w:w="11907" w:h="16840"/>
          <w:pgMar w:top="400" w:right="1786" w:bottom="1371" w:left="1614" w:header="0" w:footer="1202" w:gutter="0"/>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2"/>
        <w:spacing w:before="101" w:line="222" w:lineRule="auto"/>
        <w:ind w:left="26"/>
      </w:pPr>
      <w:r>
        <w:rPr>
          <w:spacing w:val="-10"/>
        </w:rPr>
        <w:t>附件</w:t>
      </w:r>
      <w:r>
        <w:rPr>
          <w:spacing w:val="-49"/>
        </w:rPr>
        <w:t xml:space="preserve"> </w:t>
      </w:r>
      <w:r>
        <w:rPr>
          <w:spacing w:val="-10"/>
        </w:rPr>
        <w:t>3</w:t>
      </w:r>
    </w:p>
    <w:p>
      <w:pPr>
        <w:spacing w:line="265" w:lineRule="auto"/>
        <w:rPr>
          <w:rFonts w:ascii="Arial"/>
          <w:sz w:val="21"/>
        </w:rPr>
      </w:pPr>
    </w:p>
    <w:p>
      <w:pPr>
        <w:spacing w:line="266" w:lineRule="auto"/>
        <w:rPr>
          <w:rFonts w:ascii="Arial"/>
          <w:sz w:val="21"/>
        </w:rPr>
      </w:pPr>
    </w:p>
    <w:p>
      <w:pPr>
        <w:spacing w:before="114" w:line="223" w:lineRule="auto"/>
        <w:ind w:left="413"/>
        <w:rPr>
          <w:rFonts w:ascii="宋体" w:hAnsi="宋体" w:eastAsia="宋体" w:cs="宋体"/>
          <w:sz w:val="35"/>
          <w:szCs w:val="35"/>
        </w:rPr>
      </w:pPr>
      <w:r>
        <w:rPr>
          <w:rFonts w:ascii="宋体" w:hAnsi="宋体" w:eastAsia="宋体" w:cs="宋体"/>
          <w:spacing w:val="8"/>
          <w:sz w:val="35"/>
          <w:szCs w:val="35"/>
          <w14:textOutline w14:w="3175" w14:cap="flat" w14:cmpd="sng">
            <w14:solidFill>
              <w14:srgbClr w14:val="000000"/>
            </w14:solidFill>
            <w14:prstDash w14:val="solid"/>
            <w14:miter w14:val="0"/>
          </w14:textOutline>
        </w:rPr>
        <w:t>2024</w:t>
      </w:r>
      <w:r>
        <w:rPr>
          <w:rFonts w:ascii="宋体" w:hAnsi="宋体" w:eastAsia="宋体" w:cs="宋体"/>
          <w:spacing w:val="-63"/>
          <w:sz w:val="35"/>
          <w:szCs w:val="35"/>
        </w:rPr>
        <w:t xml:space="preserve"> </w:t>
      </w:r>
      <w:r>
        <w:rPr>
          <w:rFonts w:ascii="宋体" w:hAnsi="宋体" w:eastAsia="宋体" w:cs="宋体"/>
          <w:spacing w:val="8"/>
          <w:sz w:val="35"/>
          <w:szCs w:val="35"/>
          <w14:textOutline w14:w="3175" w14:cap="flat" w14:cmpd="sng">
            <w14:solidFill>
              <w14:srgbClr w14:val="000000"/>
            </w14:solidFill>
            <w14:prstDash w14:val="solid"/>
            <w14:miter w14:val="0"/>
          </w14:textOutline>
        </w:rPr>
        <w:t>年度全国教育科学规划项目申报常见问题答疑</w:t>
      </w:r>
    </w:p>
    <w:p>
      <w:pPr>
        <w:spacing w:line="290" w:lineRule="auto"/>
        <w:rPr>
          <w:rFonts w:ascii="Arial"/>
          <w:sz w:val="21"/>
        </w:rPr>
      </w:pPr>
    </w:p>
    <w:p>
      <w:pPr>
        <w:spacing w:line="290" w:lineRule="auto"/>
        <w:rPr>
          <w:rFonts w:ascii="Arial"/>
          <w:sz w:val="21"/>
        </w:rPr>
      </w:pPr>
    </w:p>
    <w:p>
      <w:pPr>
        <w:spacing w:before="101" w:line="521" w:lineRule="exact"/>
        <w:ind w:left="18"/>
        <w:rPr>
          <w:rFonts w:ascii="黑体" w:hAnsi="黑体" w:eastAsia="黑体" w:cs="黑体"/>
          <w:sz w:val="31"/>
          <w:szCs w:val="31"/>
        </w:rPr>
      </w:pPr>
      <w:r>
        <w:rPr>
          <w:rFonts w:ascii="黑体" w:hAnsi="黑体" w:eastAsia="黑体" w:cs="黑体"/>
          <w:spacing w:val="8"/>
          <w:position w:val="14"/>
          <w:sz w:val="31"/>
          <w:szCs w:val="31"/>
        </w:rPr>
        <w:t>1.2024 年度全国教育科学规划项目申报、评审周期是怎</w:t>
      </w:r>
      <w:r>
        <w:rPr>
          <w:rFonts w:ascii="黑体" w:hAnsi="黑体" w:eastAsia="黑体" w:cs="黑体"/>
          <w:spacing w:val="7"/>
          <w:position w:val="14"/>
          <w:sz w:val="31"/>
          <w:szCs w:val="31"/>
        </w:rPr>
        <w:t>么安排</w:t>
      </w:r>
    </w:p>
    <w:p>
      <w:pPr>
        <w:spacing w:line="228" w:lineRule="auto"/>
        <w:ind w:left="20"/>
        <w:rPr>
          <w:rFonts w:ascii="黑体" w:hAnsi="黑体" w:eastAsia="黑体" w:cs="黑体"/>
          <w:sz w:val="31"/>
          <w:szCs w:val="31"/>
        </w:rPr>
      </w:pPr>
      <w:r>
        <w:rPr>
          <w:rFonts w:ascii="黑体" w:hAnsi="黑体" w:eastAsia="黑体" w:cs="黑体"/>
          <w:spacing w:val="-11"/>
          <w:sz w:val="31"/>
          <w:szCs w:val="31"/>
        </w:rPr>
        <w:t>的？</w:t>
      </w:r>
    </w:p>
    <w:p>
      <w:pPr>
        <w:pStyle w:val="2"/>
        <w:spacing w:before="136" w:line="310" w:lineRule="auto"/>
        <w:ind w:left="19" w:hanging="2"/>
        <w:jc w:val="both"/>
      </w:pPr>
      <w:r>
        <w:rPr>
          <w:spacing w:val="2"/>
        </w:rPr>
        <w:t>——2024</w:t>
      </w:r>
      <w:r>
        <w:rPr>
          <w:spacing w:val="-56"/>
        </w:rPr>
        <w:t xml:space="preserve"> </w:t>
      </w:r>
      <w:r>
        <w:rPr>
          <w:spacing w:val="2"/>
        </w:rPr>
        <w:t>年度全国教育科学规划项目定于 2024</w:t>
      </w:r>
      <w:r>
        <w:rPr>
          <w:spacing w:val="-56"/>
        </w:rPr>
        <w:t xml:space="preserve"> </w:t>
      </w:r>
      <w:r>
        <w:rPr>
          <w:spacing w:val="2"/>
        </w:rPr>
        <w:t>年</w:t>
      </w:r>
      <w:r>
        <w:rPr>
          <w:spacing w:val="-47"/>
        </w:rPr>
        <w:t xml:space="preserve"> </w:t>
      </w:r>
      <w:r>
        <w:rPr>
          <w:spacing w:val="2"/>
        </w:rPr>
        <w:t>4</w:t>
      </w:r>
      <w:r>
        <w:rPr>
          <w:spacing w:val="-44"/>
        </w:rPr>
        <w:t xml:space="preserve"> </w:t>
      </w:r>
      <w:r>
        <w:rPr>
          <w:spacing w:val="2"/>
        </w:rPr>
        <w:t>月</w:t>
      </w:r>
      <w:r>
        <w:rPr>
          <w:spacing w:val="-36"/>
        </w:rPr>
        <w:t xml:space="preserve"> </w:t>
      </w:r>
      <w:r>
        <w:rPr>
          <w:spacing w:val="2"/>
        </w:rPr>
        <w:t>30 日启</w:t>
      </w:r>
      <w:r>
        <w:t xml:space="preserve"> </w:t>
      </w:r>
      <w:r>
        <w:rPr>
          <w:spacing w:val="7"/>
        </w:rPr>
        <w:t>动网上申报，2024</w:t>
      </w:r>
      <w:r>
        <w:rPr>
          <w:spacing w:val="-47"/>
        </w:rPr>
        <w:t xml:space="preserve"> </w:t>
      </w:r>
      <w:r>
        <w:rPr>
          <w:spacing w:val="7"/>
        </w:rPr>
        <w:t>年</w:t>
      </w:r>
      <w:r>
        <w:rPr>
          <w:spacing w:val="-34"/>
        </w:rPr>
        <w:t xml:space="preserve"> </w:t>
      </w:r>
      <w:r>
        <w:rPr>
          <w:spacing w:val="7"/>
        </w:rPr>
        <w:t>5</w:t>
      </w:r>
      <w:r>
        <w:rPr>
          <w:spacing w:val="-34"/>
        </w:rPr>
        <w:t xml:space="preserve"> </w:t>
      </w:r>
      <w:r>
        <w:rPr>
          <w:spacing w:val="7"/>
        </w:rPr>
        <w:t>月</w:t>
      </w:r>
      <w:r>
        <w:rPr>
          <w:spacing w:val="-24"/>
        </w:rPr>
        <w:t xml:space="preserve"> </w:t>
      </w:r>
      <w:r>
        <w:rPr>
          <w:spacing w:val="7"/>
        </w:rPr>
        <w:t>31 日结束网上</w:t>
      </w:r>
      <w:r>
        <w:rPr>
          <w:spacing w:val="6"/>
        </w:rPr>
        <w:t>申报。</w:t>
      </w:r>
      <w:r>
        <w:rPr>
          <w:spacing w:val="-85"/>
        </w:rPr>
        <w:t xml:space="preserve"> </w:t>
      </w:r>
      <w:r>
        <w:rPr>
          <w:spacing w:val="6"/>
        </w:rPr>
        <w:t>二级管理单位</w:t>
      </w:r>
      <w:r>
        <w:t xml:space="preserve"> 网上审核截止时间为</w:t>
      </w:r>
      <w:r>
        <w:rPr>
          <w:spacing w:val="-46"/>
        </w:rPr>
        <w:t xml:space="preserve"> </w:t>
      </w:r>
      <w:r>
        <w:t>2024</w:t>
      </w:r>
      <w:r>
        <w:rPr>
          <w:spacing w:val="-58"/>
        </w:rPr>
        <w:t xml:space="preserve"> </w:t>
      </w:r>
      <w:r>
        <w:t>年</w:t>
      </w:r>
      <w:r>
        <w:rPr>
          <w:spacing w:val="-43"/>
        </w:rPr>
        <w:t xml:space="preserve"> </w:t>
      </w:r>
      <w:r>
        <w:t>6</w:t>
      </w:r>
      <w:r>
        <w:rPr>
          <w:spacing w:val="-46"/>
        </w:rPr>
        <w:t xml:space="preserve"> </w:t>
      </w:r>
      <w:r>
        <w:t>月</w:t>
      </w:r>
      <w:r>
        <w:rPr>
          <w:spacing w:val="-44"/>
        </w:rPr>
        <w:t xml:space="preserve"> </w:t>
      </w:r>
      <w:r>
        <w:t>7 日。我办计划</w:t>
      </w:r>
      <w:r>
        <w:rPr>
          <w:spacing w:val="-1"/>
        </w:rPr>
        <w:t>于</w:t>
      </w:r>
      <w:r>
        <w:rPr>
          <w:spacing w:val="-43"/>
        </w:rPr>
        <w:t xml:space="preserve"> </w:t>
      </w:r>
      <w:r>
        <w:rPr>
          <w:spacing w:val="-1"/>
        </w:rPr>
        <w:t>6-8</w:t>
      </w:r>
      <w:r>
        <w:rPr>
          <w:spacing w:val="-46"/>
        </w:rPr>
        <w:t xml:space="preserve"> </w:t>
      </w:r>
      <w:r>
        <w:rPr>
          <w:spacing w:val="-1"/>
        </w:rPr>
        <w:t>月完成</w:t>
      </w:r>
    </w:p>
    <w:p>
      <w:pPr>
        <w:pStyle w:val="2"/>
        <w:spacing w:before="1" w:line="220" w:lineRule="auto"/>
        <w:ind w:left="6"/>
      </w:pPr>
      <w:r>
        <w:rPr>
          <w:spacing w:val="7"/>
        </w:rPr>
        <w:t>材料审核并组织评审。</w:t>
      </w:r>
    </w:p>
    <w:p>
      <w:pPr>
        <w:spacing w:before="147" w:line="227" w:lineRule="auto"/>
        <w:rPr>
          <w:rFonts w:ascii="黑体" w:hAnsi="黑体" w:eastAsia="黑体" w:cs="黑体"/>
          <w:sz w:val="31"/>
          <w:szCs w:val="31"/>
        </w:rPr>
      </w:pPr>
      <w:r>
        <w:rPr>
          <w:rFonts w:ascii="黑体" w:hAnsi="黑体" w:eastAsia="黑体" w:cs="黑体"/>
          <w:spacing w:val="7"/>
          <w:sz w:val="31"/>
          <w:szCs w:val="31"/>
        </w:rPr>
        <w:t>2.项目通过什么渠道申报？</w:t>
      </w:r>
    </w:p>
    <w:p>
      <w:pPr>
        <w:pStyle w:val="2"/>
        <w:spacing w:before="141" w:line="280" w:lineRule="auto"/>
        <w:ind w:left="3" w:firstLine="13"/>
      </w:pPr>
      <w:r>
        <w:rPr>
          <w:spacing w:val="2"/>
        </w:rPr>
        <w:t>——本年度实行网络申报。</w:t>
      </w:r>
      <w:r>
        <w:rPr>
          <w:spacing w:val="-58"/>
        </w:rPr>
        <w:t xml:space="preserve"> </w:t>
      </w:r>
      <w:r>
        <w:rPr>
          <w:spacing w:val="2"/>
        </w:rPr>
        <w:t xml:space="preserve">“全国教育科学规划管理平台” (  </w:t>
      </w:r>
      <w:r>
        <w:fldChar w:fldCharType="begin"/>
      </w:r>
      <w:r>
        <w:instrText xml:space="preserve"> HYPERLINK "https://202.205.185.227" </w:instrText>
      </w:r>
      <w:r>
        <w:fldChar w:fldCharType="separate"/>
      </w:r>
      <w:r>
        <w:t>https</w:t>
      </w:r>
      <w:r>
        <w:rPr>
          <w:spacing w:val="3"/>
        </w:rPr>
        <w:t>://202.205.185.227</w:t>
      </w:r>
      <w:r>
        <w:rPr>
          <w:spacing w:val="3"/>
        </w:rPr>
        <w:fldChar w:fldCharType="end"/>
      </w:r>
      <w:r>
        <w:rPr>
          <w:spacing w:val="3"/>
        </w:rPr>
        <w:t>，</w:t>
      </w:r>
      <w:r>
        <w:rPr>
          <w:spacing w:val="-65"/>
        </w:rPr>
        <w:t xml:space="preserve"> </w:t>
      </w:r>
      <w:r>
        <w:rPr>
          <w:spacing w:val="3"/>
        </w:rPr>
        <w:t>以下简称平台）</w:t>
      </w:r>
      <w:r>
        <w:rPr>
          <w:spacing w:val="-91"/>
        </w:rPr>
        <w:t xml:space="preserve"> </w:t>
      </w:r>
      <w:r>
        <w:rPr>
          <w:spacing w:val="3"/>
        </w:rPr>
        <w:t>中的</w:t>
      </w:r>
      <w:r>
        <w:rPr>
          <w:spacing w:val="-105"/>
        </w:rPr>
        <w:t xml:space="preserve"> </w:t>
      </w:r>
      <w:r>
        <w:rPr>
          <w:spacing w:val="3"/>
        </w:rPr>
        <w:t>“项目申报系</w:t>
      </w:r>
      <w:r>
        <w:t xml:space="preserve"> </w:t>
      </w:r>
      <w:r>
        <w:rPr>
          <w:spacing w:val="8"/>
        </w:rPr>
        <w:t>统”为本次申报的唯一网络平台。</w:t>
      </w:r>
    </w:p>
    <w:p>
      <w:pPr>
        <w:pStyle w:val="2"/>
        <w:spacing w:before="148" w:line="310" w:lineRule="auto"/>
        <w:ind w:left="17" w:right="2"/>
        <w:jc w:val="both"/>
      </w:pPr>
      <w:r>
        <w:rPr>
          <w:spacing w:val="14"/>
        </w:rPr>
        <w:t>——</w:t>
      </w:r>
      <w:r>
        <w:rPr>
          <w:spacing w:val="14"/>
          <w14:textOutline w14:w="5793" w14:cap="sq" w14:cmpd="sng">
            <w14:solidFill>
              <w14:srgbClr w14:val="000000"/>
            </w14:solidFill>
            <w14:prstDash w14:val="solid"/>
            <w14:bevel/>
          </w14:textOutline>
        </w:rPr>
        <w:t>首次使用本平台的申请者</w:t>
      </w:r>
      <w:r>
        <w:rPr>
          <w:spacing w:val="14"/>
        </w:rPr>
        <w:t>，请按照平台</w:t>
      </w:r>
      <w:r>
        <w:rPr>
          <w:spacing w:val="-88"/>
        </w:rPr>
        <w:t xml:space="preserve"> </w:t>
      </w:r>
      <w:r>
        <w:rPr>
          <w:spacing w:val="14"/>
        </w:rPr>
        <w:t>“通知公告”栏目</w:t>
      </w:r>
      <w:r>
        <w:t xml:space="preserve"> </w:t>
      </w:r>
      <w:r>
        <w:rPr>
          <w:spacing w:val="16"/>
        </w:rPr>
        <w:t>中的《全国教育科学规划管理平台用户使用手册》进行注册和</w:t>
      </w:r>
      <w:r>
        <w:rPr>
          <w:spacing w:val="13"/>
        </w:rPr>
        <w:t xml:space="preserve"> </w:t>
      </w:r>
      <w:r>
        <w:rPr>
          <w:spacing w:val="16"/>
        </w:rPr>
        <w:t>等候审核。如果注册时所在单位选项中没有个人当前单位，则</w:t>
      </w:r>
      <w:r>
        <w:rPr>
          <w:spacing w:val="13"/>
        </w:rPr>
        <w:t xml:space="preserve"> </w:t>
      </w:r>
      <w:r>
        <w:rPr>
          <w:spacing w:val="16"/>
        </w:rPr>
        <w:t>需要先通知单位完成单位用户注册，单位用户被审核通过后个</w:t>
      </w:r>
    </w:p>
    <w:p>
      <w:pPr>
        <w:pStyle w:val="2"/>
        <w:spacing w:line="221" w:lineRule="auto"/>
        <w:ind w:left="5"/>
      </w:pPr>
      <w:r>
        <w:rPr>
          <w:spacing w:val="7"/>
        </w:rPr>
        <w:t>人用户就可以进行注册。</w:t>
      </w:r>
    </w:p>
    <w:p>
      <w:pPr>
        <w:pStyle w:val="2"/>
        <w:spacing w:before="148" w:line="310" w:lineRule="auto"/>
        <w:ind w:left="6" w:firstLine="11"/>
        <w:jc w:val="both"/>
      </w:pPr>
      <w:r>
        <w:rPr>
          <w:spacing w:val="27"/>
        </w:rPr>
        <w:t>—</w:t>
      </w:r>
      <w:r>
        <w:rPr>
          <w:spacing w:val="-102"/>
        </w:rPr>
        <w:t xml:space="preserve"> </w:t>
      </w:r>
      <w:r>
        <w:rPr>
          <w:spacing w:val="27"/>
        </w:rPr>
        <w:t>—部委直属高校和直属单位、部省合建高校的申请者注册</w:t>
      </w:r>
      <w:r>
        <w:t xml:space="preserve"> </w:t>
      </w:r>
      <w:r>
        <w:rPr>
          <w:spacing w:val="14"/>
        </w:rPr>
        <w:t>后，联系本单位科研管理部门审核通过后，</w:t>
      </w:r>
      <w:r>
        <w:rPr>
          <w:spacing w:val="-75"/>
        </w:rPr>
        <w:t xml:space="preserve"> </w:t>
      </w:r>
      <w:r>
        <w:rPr>
          <w:spacing w:val="14"/>
        </w:rPr>
        <w:t>即可登录系统开始</w:t>
      </w:r>
    </w:p>
    <w:p>
      <w:pPr>
        <w:pStyle w:val="2"/>
        <w:spacing w:line="222" w:lineRule="auto"/>
        <w:ind w:left="50"/>
      </w:pPr>
      <w:r>
        <w:rPr>
          <w:spacing w:val="-1"/>
        </w:rPr>
        <w:t>申报书的填写。</w:t>
      </w:r>
    </w:p>
    <w:p>
      <w:pPr>
        <w:pStyle w:val="2"/>
        <w:spacing w:before="146" w:line="220" w:lineRule="auto"/>
        <w:ind w:right="2"/>
        <w:jc w:val="right"/>
      </w:pPr>
      <w:r>
        <w:rPr>
          <w:spacing w:val="15"/>
        </w:rPr>
        <w:t>——</w:t>
      </w:r>
      <w:r>
        <w:rPr>
          <w:spacing w:val="-115"/>
        </w:rPr>
        <w:t xml:space="preserve"> </w:t>
      </w:r>
      <w:r>
        <w:rPr>
          <w:spacing w:val="15"/>
          <w14:textOutline w14:w="5793" w14:cap="sq" w14:cmpd="sng">
            <w14:solidFill>
              <w14:srgbClr w14:val="000000"/>
            </w14:solidFill>
            <w14:prstDash w14:val="solid"/>
            <w14:bevel/>
          </w14:textOutline>
        </w:rPr>
        <w:t>非部委直属高校和直属单位、部省合建高校的申请者注册</w:t>
      </w:r>
    </w:p>
    <w:p>
      <w:pPr>
        <w:spacing w:line="220" w:lineRule="auto"/>
        <w:sectPr>
          <w:footerReference r:id="rId13" w:type="default"/>
          <w:pgSz w:w="11907" w:h="16840"/>
          <w:pgMar w:top="400" w:right="1474" w:bottom="1371" w:left="1596" w:header="0" w:footer="1202"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1" w:line="310" w:lineRule="auto"/>
        <w:ind w:left="12" w:right="2"/>
        <w:jc w:val="both"/>
      </w:pPr>
      <w:r>
        <w:rPr>
          <w:spacing w:val="17"/>
          <w14:textOutline w14:w="5793" w14:cap="sq" w14:cmpd="sng">
            <w14:solidFill>
              <w14:srgbClr w14:val="000000"/>
            </w14:solidFill>
            <w14:prstDash w14:val="solid"/>
            <w14:bevel/>
          </w14:textOutline>
        </w:rPr>
        <w:t>后</w:t>
      </w:r>
      <w:r>
        <w:rPr>
          <w:spacing w:val="17"/>
        </w:rPr>
        <w:t>，</w:t>
      </w:r>
      <w:r>
        <w:rPr>
          <w:spacing w:val="17"/>
          <w14:textOutline w14:w="5793" w14:cap="sq" w14:cmpd="sng">
            <w14:solidFill>
              <w14:srgbClr w14:val="000000"/>
            </w14:solidFill>
            <w14:prstDash w14:val="solid"/>
            <w14:bevel/>
          </w14:textOutline>
        </w:rPr>
        <w:t>需等待本单位科研管理部门和省级教育科学规划办</w:t>
      </w:r>
      <w:r>
        <w:rPr>
          <w:spacing w:val="16"/>
          <w14:textOutline w14:w="5793" w14:cap="sq" w14:cmpd="sng">
            <w14:solidFill>
              <w14:srgbClr w14:val="000000"/>
            </w14:solidFill>
            <w14:prstDash w14:val="solid"/>
            <w14:bevel/>
          </w14:textOutline>
        </w:rPr>
        <w:t>审核通</w:t>
      </w:r>
      <w:r>
        <w:t xml:space="preserve"> </w:t>
      </w:r>
      <w:r>
        <w:rPr>
          <w:spacing w:val="17"/>
          <w14:textOutline w14:w="5793" w14:cap="sq" w14:cmpd="sng">
            <w14:solidFill>
              <w14:srgbClr w14:val="000000"/>
            </w14:solidFill>
            <w14:prstDash w14:val="solid"/>
            <w14:bevel/>
          </w14:textOutline>
        </w:rPr>
        <w:t>过</w:t>
      </w:r>
      <w:r>
        <w:rPr>
          <w:spacing w:val="17"/>
        </w:rPr>
        <w:t>后，才能登录填写。全规办不直接受理个人的注册审</w:t>
      </w:r>
      <w:r>
        <w:rPr>
          <w:spacing w:val="16"/>
        </w:rPr>
        <w:t>核。若</w:t>
      </w:r>
      <w:r>
        <w:t xml:space="preserve"> </w:t>
      </w:r>
      <w:r>
        <w:rPr>
          <w:spacing w:val="17"/>
        </w:rPr>
        <w:t>长时间未审核通过，请与本单位科研管理部门和本省教</w:t>
      </w:r>
      <w:r>
        <w:rPr>
          <w:spacing w:val="16"/>
        </w:rPr>
        <w:t>育科学</w:t>
      </w:r>
      <w:r>
        <w:t xml:space="preserve"> </w:t>
      </w:r>
      <w:r>
        <w:rPr>
          <w:spacing w:val="17"/>
        </w:rPr>
        <w:t>规划办联系了解情况。</w:t>
      </w:r>
      <w:r>
        <w:rPr>
          <w:spacing w:val="17"/>
          <w14:textOutline w14:w="5793" w14:cap="sq" w14:cmpd="sng">
            <w14:solidFill>
              <w14:srgbClr w14:val="000000"/>
            </w14:solidFill>
            <w14:prstDash w14:val="solid"/>
            <w14:bevel/>
          </w14:textOutline>
        </w:rPr>
        <w:t>省教育科学规划联系方式见申报</w:t>
      </w:r>
      <w:r>
        <w:rPr>
          <w:spacing w:val="16"/>
          <w14:textOutline w14:w="5793" w14:cap="sq" w14:cmpd="sng">
            <w14:solidFill>
              <w14:srgbClr w14:val="000000"/>
            </w14:solidFill>
            <w14:prstDash w14:val="solid"/>
            <w14:bevel/>
          </w14:textOutline>
        </w:rPr>
        <w:t>平台登</w:t>
      </w:r>
    </w:p>
    <w:p>
      <w:pPr>
        <w:pStyle w:val="2"/>
        <w:spacing w:line="222" w:lineRule="auto"/>
        <w:ind w:left="22"/>
      </w:pPr>
      <w:r>
        <w:rPr>
          <w:spacing w:val="4"/>
          <w14:textOutline w14:w="5793" w14:cap="sq" w14:cmpd="sng">
            <w14:solidFill>
              <w14:srgbClr w14:val="000000"/>
            </w14:solidFill>
            <w14:prstDash w14:val="solid"/>
            <w14:bevel/>
          </w14:textOutline>
        </w:rPr>
        <w:t>录页面左侧</w:t>
      </w:r>
      <w:r>
        <w:rPr>
          <w:spacing w:val="-95"/>
        </w:rPr>
        <w:t xml:space="preserve"> </w:t>
      </w:r>
      <w:r>
        <w:rPr>
          <w:spacing w:val="4"/>
          <w14:textOutline w14:w="5793" w14:cap="sq" w14:cmpd="sng">
            <w14:solidFill>
              <w14:srgbClr w14:val="000000"/>
            </w14:solidFill>
            <w14:prstDash w14:val="solid"/>
            <w14:bevel/>
          </w14:textOutline>
        </w:rPr>
        <w:t>“通知公告”栏目。</w:t>
      </w:r>
    </w:p>
    <w:p>
      <w:pPr>
        <w:pStyle w:val="2"/>
        <w:spacing w:before="148" w:line="309" w:lineRule="auto"/>
        <w:ind w:left="12" w:firstLine="11"/>
        <w:jc w:val="both"/>
      </w:pPr>
      <w:r>
        <w:rPr>
          <w:spacing w:val="15"/>
        </w:rPr>
        <w:t>—</w:t>
      </w:r>
      <w:r>
        <w:rPr>
          <w:spacing w:val="-115"/>
        </w:rPr>
        <w:t xml:space="preserve"> </w:t>
      </w:r>
      <w:r>
        <w:rPr>
          <w:spacing w:val="15"/>
        </w:rPr>
        <w:t>—高校附属中小学、幼儿园的申报者注册时，所属管理单位</w:t>
      </w:r>
      <w:r>
        <w:t xml:space="preserve"> </w:t>
      </w:r>
      <w:r>
        <w:rPr>
          <w:spacing w:val="15"/>
        </w:rPr>
        <w:t>选择</w:t>
      </w:r>
      <w:r>
        <w:rPr>
          <w:spacing w:val="-98"/>
        </w:rPr>
        <w:t xml:space="preserve"> </w:t>
      </w:r>
      <w:r>
        <w:rPr>
          <w:spacing w:val="15"/>
        </w:rPr>
        <w:t>“本省教育规划办”，而非其上级高校；没有社</w:t>
      </w:r>
      <w:r>
        <w:rPr>
          <w:spacing w:val="14"/>
        </w:rPr>
        <w:t>会统一代</w:t>
      </w:r>
    </w:p>
    <w:p>
      <w:pPr>
        <w:pStyle w:val="2"/>
        <w:spacing w:line="223" w:lineRule="auto"/>
        <w:ind w:left="13"/>
      </w:pPr>
      <w:r>
        <w:rPr>
          <w:spacing w:val="3"/>
        </w:rPr>
        <w:t>码证的，填写</w:t>
      </w:r>
      <w:r>
        <w:rPr>
          <w:spacing w:val="-102"/>
        </w:rPr>
        <w:t xml:space="preserve"> </w:t>
      </w:r>
      <w:r>
        <w:rPr>
          <w:spacing w:val="3"/>
        </w:rPr>
        <w:t>“无”。</w:t>
      </w:r>
    </w:p>
    <w:p>
      <w:pPr>
        <w:pStyle w:val="2"/>
        <w:spacing w:before="142" w:line="310" w:lineRule="auto"/>
        <w:ind w:left="8" w:right="2" w:firstLine="14"/>
      </w:pPr>
      <w:r>
        <w:rPr>
          <w:spacing w:val="16"/>
        </w:rPr>
        <w:t>——个人用户及</w:t>
      </w:r>
      <w:r>
        <w:rPr>
          <w:spacing w:val="16"/>
          <w14:textOutline w14:w="5793" w14:cap="sq" w14:cmpd="sng">
            <w14:solidFill>
              <w14:srgbClr w14:val="000000"/>
            </w14:solidFill>
            <w14:prstDash w14:val="solid"/>
            <w14:bevel/>
          </w14:textOutline>
        </w:rPr>
        <w:t>非部委直属高校和直属单位、部省合建高校</w:t>
      </w:r>
      <w:r>
        <w:rPr>
          <w:spacing w:val="16"/>
        </w:rPr>
        <w:t>忘</w:t>
      </w:r>
      <w:r>
        <w:rPr>
          <w:spacing w:val="13"/>
        </w:rPr>
        <w:t xml:space="preserve"> </w:t>
      </w:r>
      <w:r>
        <w:rPr>
          <w:spacing w:val="14"/>
        </w:rPr>
        <w:t>记密码的，可以通过登录界面的</w:t>
      </w:r>
      <w:r>
        <w:rPr>
          <w:spacing w:val="-90"/>
        </w:rPr>
        <w:t xml:space="preserve"> </w:t>
      </w:r>
      <w:r>
        <w:rPr>
          <w:spacing w:val="14"/>
        </w:rPr>
        <w:t>“忘记密码”功能找回密码；</w:t>
      </w:r>
      <w:r>
        <w:t xml:space="preserve"> </w:t>
      </w:r>
      <w:r>
        <w:rPr>
          <w:spacing w:val="17"/>
        </w:rPr>
        <w:t>部委直属高校和直属单位、部省合建高校忘记密码的，需在通</w:t>
      </w:r>
      <w:r>
        <w:rPr>
          <w:spacing w:val="1"/>
        </w:rPr>
        <w:t xml:space="preserve"> </w:t>
      </w:r>
      <w:r>
        <w:rPr>
          <w:spacing w:val="15"/>
        </w:rPr>
        <w:t>知公告栏下载填写</w:t>
      </w:r>
      <w:r>
        <w:rPr>
          <w:spacing w:val="-95"/>
        </w:rPr>
        <w:t xml:space="preserve"> </w:t>
      </w:r>
      <w:r>
        <w:rPr>
          <w:spacing w:val="15"/>
        </w:rPr>
        <w:t>“省部级管理单位找回密码申请</w:t>
      </w:r>
      <w:r>
        <w:rPr>
          <w:spacing w:val="14"/>
        </w:rPr>
        <w:t>表”并加盖</w:t>
      </w:r>
      <w:r>
        <w:t xml:space="preserve"> </w:t>
      </w:r>
      <w:r>
        <w:rPr>
          <w:spacing w:val="17"/>
        </w:rPr>
        <w:t>单位公章，扫描后以电子邮件的形式发送至全国教育科学规划</w:t>
      </w:r>
    </w:p>
    <w:p>
      <w:pPr>
        <w:pStyle w:val="2"/>
        <w:spacing w:line="215" w:lineRule="auto"/>
        <w:ind w:left="22"/>
      </w:pPr>
      <w:r>
        <w:rPr>
          <w:spacing w:val="10"/>
        </w:rPr>
        <w:t>办：</w:t>
      </w:r>
      <w:r>
        <w:t>ghb</w:t>
      </w:r>
      <w:r>
        <w:rPr>
          <w:spacing w:val="10"/>
        </w:rPr>
        <w:t>@</w:t>
      </w:r>
      <w:r>
        <w:t>moe</w:t>
      </w:r>
      <w:r>
        <w:rPr>
          <w:spacing w:val="10"/>
        </w:rPr>
        <w:t>.</w:t>
      </w:r>
      <w:r>
        <w:t>edu</w:t>
      </w:r>
      <w:r>
        <w:rPr>
          <w:spacing w:val="10"/>
        </w:rPr>
        <w:t>.</w:t>
      </w:r>
      <w:r>
        <w:t>cn</w:t>
      </w:r>
      <w:r>
        <w:rPr>
          <w:spacing w:val="10"/>
        </w:rPr>
        <w:t>。</w:t>
      </w:r>
    </w:p>
    <w:p>
      <w:pPr>
        <w:spacing w:before="158" w:line="227" w:lineRule="auto"/>
        <w:ind w:left="8"/>
        <w:rPr>
          <w:rFonts w:ascii="黑体" w:hAnsi="黑体" w:eastAsia="黑体" w:cs="黑体"/>
          <w:sz w:val="31"/>
          <w:szCs w:val="31"/>
        </w:rPr>
      </w:pPr>
      <w:r>
        <w:rPr>
          <w:rFonts w:ascii="黑体" w:hAnsi="黑体" w:eastAsia="黑体" w:cs="黑体"/>
          <w:spacing w:val="8"/>
          <w:sz w:val="31"/>
          <w:szCs w:val="31"/>
        </w:rPr>
        <w:t>3.国家重大招标项目申请有什么主要注意事项？</w:t>
      </w:r>
    </w:p>
    <w:p>
      <w:pPr>
        <w:pStyle w:val="2"/>
        <w:spacing w:before="138" w:line="220" w:lineRule="auto"/>
        <w:ind w:right="2"/>
        <w:jc w:val="right"/>
      </w:pPr>
      <w:r>
        <w:rPr>
          <w:spacing w:val="16"/>
        </w:rPr>
        <w:t>——</w:t>
      </w:r>
      <w:r>
        <w:rPr>
          <w:spacing w:val="16"/>
          <w14:textOutline w14:w="5793" w14:cap="sq" w14:cmpd="sng">
            <w14:solidFill>
              <w14:srgbClr w14:val="000000"/>
            </w14:solidFill>
            <w14:prstDash w14:val="solid"/>
            <w14:bevel/>
          </w14:textOutline>
        </w:rPr>
        <w:t>在研国家社会科学基金和全国教育科学规划各类项目的负</w:t>
      </w:r>
    </w:p>
    <w:p>
      <w:pPr>
        <w:pStyle w:val="2"/>
        <w:spacing w:before="152" w:line="520" w:lineRule="exact"/>
        <w:ind w:left="18"/>
      </w:pPr>
      <w:r>
        <w:rPr>
          <w:spacing w:val="8"/>
          <w:position w:val="15"/>
          <w14:textOutline w14:w="5793" w14:cap="sq" w14:cmpd="sng">
            <w14:solidFill>
              <w14:srgbClr w14:val="000000"/>
            </w14:solidFill>
            <w14:prstDash w14:val="solid"/>
            <w14:bevel/>
          </w14:textOutline>
        </w:rPr>
        <w:t>责人，</w:t>
      </w:r>
      <w:r>
        <w:rPr>
          <w:spacing w:val="8"/>
          <w:position w:val="15"/>
        </w:rPr>
        <w:t>不能作为首席专家和子课题负责人参加本次投标。</w:t>
      </w:r>
    </w:p>
    <w:p>
      <w:pPr>
        <w:spacing w:line="227" w:lineRule="auto"/>
        <w:rPr>
          <w:rFonts w:ascii="黑体" w:hAnsi="黑体" w:eastAsia="黑体" w:cs="黑体"/>
          <w:sz w:val="31"/>
          <w:szCs w:val="31"/>
        </w:rPr>
      </w:pPr>
      <w:r>
        <w:rPr>
          <w:rFonts w:ascii="黑体" w:hAnsi="黑体" w:eastAsia="黑体" w:cs="黑体"/>
          <w:spacing w:val="8"/>
          <w:sz w:val="31"/>
          <w:szCs w:val="31"/>
        </w:rPr>
        <w:t>4.国家重点项目申请有什么主要注意事项？</w:t>
      </w:r>
    </w:p>
    <w:p>
      <w:pPr>
        <w:pStyle w:val="2"/>
        <w:spacing w:before="138" w:line="521" w:lineRule="exact"/>
        <w:jc w:val="right"/>
      </w:pPr>
      <w:r>
        <w:rPr>
          <w:spacing w:val="9"/>
          <w:position w:val="15"/>
        </w:rPr>
        <w:t>—</w:t>
      </w:r>
      <w:r>
        <w:rPr>
          <w:spacing w:val="-116"/>
          <w:position w:val="15"/>
        </w:rPr>
        <w:t xml:space="preserve"> </w:t>
      </w:r>
      <w:r>
        <w:rPr>
          <w:spacing w:val="9"/>
          <w:position w:val="15"/>
        </w:rPr>
        <w:t>—</w:t>
      </w:r>
      <w:r>
        <w:rPr>
          <w:spacing w:val="-107"/>
          <w:position w:val="15"/>
        </w:rPr>
        <w:t xml:space="preserve"> </w:t>
      </w:r>
      <w:r>
        <w:rPr>
          <w:spacing w:val="9"/>
          <w:position w:val="15"/>
        </w:rPr>
        <w:t>国家重点项目在</w:t>
      </w:r>
      <w:r>
        <w:rPr>
          <w:spacing w:val="-95"/>
          <w:position w:val="15"/>
        </w:rPr>
        <w:t xml:space="preserve"> </w:t>
      </w:r>
      <w:r>
        <w:rPr>
          <w:spacing w:val="9"/>
          <w:position w:val="15"/>
        </w:rPr>
        <w:t>“其它类别项目”</w:t>
      </w:r>
      <w:r>
        <w:rPr>
          <w:spacing w:val="-98"/>
          <w:position w:val="15"/>
        </w:rPr>
        <w:t xml:space="preserve"> </w:t>
      </w:r>
      <w:r>
        <w:rPr>
          <w:spacing w:val="9"/>
          <w:position w:val="15"/>
        </w:rPr>
        <w:t>申报系统中申报，请按</w:t>
      </w:r>
    </w:p>
    <w:p>
      <w:pPr>
        <w:pStyle w:val="2"/>
        <w:spacing w:before="1" w:line="220" w:lineRule="auto"/>
        <w:ind w:left="32"/>
      </w:pPr>
      <w:r>
        <w:rPr>
          <w:spacing w:val="7"/>
        </w:rPr>
        <w:t>照申报系统中的提示语填写申请材料。</w:t>
      </w:r>
    </w:p>
    <w:p>
      <w:pPr>
        <w:pStyle w:val="2"/>
        <w:spacing w:before="150" w:line="518" w:lineRule="exact"/>
        <w:ind w:left="23"/>
      </w:pPr>
      <w:r>
        <w:rPr>
          <w:spacing w:val="6"/>
          <w:position w:val="15"/>
        </w:rPr>
        <w:t>——</w:t>
      </w:r>
      <w:r>
        <w:rPr>
          <w:spacing w:val="-91"/>
          <w:position w:val="15"/>
        </w:rPr>
        <w:t xml:space="preserve"> </w:t>
      </w:r>
      <w:r>
        <w:rPr>
          <w:spacing w:val="6"/>
          <w:position w:val="15"/>
        </w:rPr>
        <w:t>申报重点项目评审未通过的，不能转为一般项目立项。</w:t>
      </w:r>
    </w:p>
    <w:p>
      <w:pPr>
        <w:spacing w:line="227" w:lineRule="auto"/>
        <w:ind w:left="1"/>
        <w:rPr>
          <w:rFonts w:ascii="黑体" w:hAnsi="黑体" w:eastAsia="黑体" w:cs="黑体"/>
          <w:sz w:val="31"/>
          <w:szCs w:val="31"/>
        </w:rPr>
      </w:pPr>
      <w:r>
        <w:rPr>
          <w:rFonts w:ascii="黑体" w:hAnsi="黑体" w:eastAsia="黑体" w:cs="黑体"/>
          <w:spacing w:val="7"/>
          <w:sz w:val="31"/>
          <w:szCs w:val="31"/>
        </w:rPr>
        <w:t>5.是否实行限额申报？</w:t>
      </w:r>
    </w:p>
    <w:p>
      <w:pPr>
        <w:pStyle w:val="2"/>
        <w:spacing w:before="141" w:line="221" w:lineRule="auto"/>
        <w:ind w:left="23"/>
      </w:pPr>
      <w:r>
        <w:rPr>
          <w:spacing w:val="7"/>
        </w:rPr>
        <w:t>——年度项目实行限额申报。</w:t>
      </w:r>
    </w:p>
    <w:p>
      <w:pPr>
        <w:pStyle w:val="2"/>
        <w:spacing w:before="149" w:line="221" w:lineRule="auto"/>
        <w:ind w:left="23"/>
      </w:pPr>
      <w:r>
        <w:rPr>
          <w:spacing w:val="8"/>
        </w:rPr>
        <w:t>——</w:t>
      </w:r>
      <w:r>
        <w:rPr>
          <w:spacing w:val="8"/>
          <w14:textOutline w14:w="5793" w14:cap="sq" w14:cmpd="sng">
            <w14:solidFill>
              <w14:srgbClr w14:val="000000"/>
            </w14:solidFill>
            <w14:prstDash w14:val="solid"/>
            <w14:bevel/>
          </w14:textOutline>
        </w:rPr>
        <w:t>港澳台研究专项实行不限额申报。</w:t>
      </w:r>
    </w:p>
    <w:p>
      <w:pPr>
        <w:spacing w:line="221" w:lineRule="auto"/>
        <w:sectPr>
          <w:footerReference r:id="rId14" w:type="default"/>
          <w:pgSz w:w="11907" w:h="16840"/>
          <w:pgMar w:top="400" w:right="1474" w:bottom="1371" w:left="1590" w:header="0" w:footer="1202"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7" w:lineRule="auto"/>
        <w:ind w:left="7"/>
        <w:rPr>
          <w:rFonts w:ascii="黑体" w:hAnsi="黑体" w:eastAsia="黑体" w:cs="黑体"/>
          <w:sz w:val="31"/>
          <w:szCs w:val="31"/>
        </w:rPr>
      </w:pPr>
      <w:r>
        <w:rPr>
          <w:rFonts w:ascii="黑体" w:hAnsi="黑体" w:eastAsia="黑体" w:cs="黑体"/>
          <w:spacing w:val="7"/>
          <w:sz w:val="31"/>
          <w:szCs w:val="31"/>
        </w:rPr>
        <w:t>6.西部项目如何申报？</w:t>
      </w:r>
    </w:p>
    <w:p>
      <w:pPr>
        <w:pStyle w:val="2"/>
        <w:spacing w:before="142" w:line="309" w:lineRule="auto"/>
        <w:ind w:left="16" w:right="2" w:firstLine="7"/>
        <w:jc w:val="both"/>
      </w:pPr>
      <w:r>
        <w:rPr>
          <w:spacing w:val="15"/>
        </w:rPr>
        <w:t>—</w:t>
      </w:r>
      <w:r>
        <w:rPr>
          <w:spacing w:val="-115"/>
        </w:rPr>
        <w:t xml:space="preserve"> </w:t>
      </w:r>
      <w:r>
        <w:rPr>
          <w:spacing w:val="15"/>
        </w:rPr>
        <w:t>—本年度西部项目作为一个项目类别单独申报。符合要求的</w:t>
      </w:r>
      <w:r>
        <w:t xml:space="preserve"> </w:t>
      </w:r>
      <w:r>
        <w:rPr>
          <w:spacing w:val="12"/>
        </w:rPr>
        <w:t>单位人员可以选择西部项目申报。</w:t>
      </w:r>
      <w:r>
        <w:rPr>
          <w:spacing w:val="-90"/>
        </w:rPr>
        <w:t xml:space="preserve"> </w:t>
      </w:r>
      <w:r>
        <w:rPr>
          <w:spacing w:val="12"/>
        </w:rPr>
        <w:t>西部项目与国家一般、</w:t>
      </w:r>
      <w:r>
        <w:rPr>
          <w:spacing w:val="-92"/>
        </w:rPr>
        <w:t xml:space="preserve"> </w:t>
      </w:r>
      <w:r>
        <w:rPr>
          <w:spacing w:val="12"/>
        </w:rPr>
        <w:t>国家</w:t>
      </w:r>
    </w:p>
    <w:p>
      <w:pPr>
        <w:pStyle w:val="2"/>
        <w:spacing w:before="1" w:line="221" w:lineRule="auto"/>
        <w:ind w:left="19"/>
      </w:pPr>
      <w:r>
        <w:rPr>
          <w:spacing w:val="4"/>
        </w:rPr>
        <w:t>青年的资助金额相同，每项</w:t>
      </w:r>
      <w:r>
        <w:rPr>
          <w:spacing w:val="-48"/>
        </w:rPr>
        <w:t xml:space="preserve"> </w:t>
      </w:r>
      <w:r>
        <w:rPr>
          <w:spacing w:val="4"/>
        </w:rPr>
        <w:t>20</w:t>
      </w:r>
      <w:r>
        <w:rPr>
          <w:spacing w:val="-47"/>
        </w:rPr>
        <w:t xml:space="preserve"> </w:t>
      </w:r>
      <w:r>
        <w:rPr>
          <w:spacing w:val="4"/>
        </w:rPr>
        <w:t>万元。</w:t>
      </w:r>
    </w:p>
    <w:p>
      <w:pPr>
        <w:pStyle w:val="2"/>
        <w:spacing w:before="148" w:line="521" w:lineRule="exact"/>
        <w:jc w:val="right"/>
      </w:pPr>
      <w:r>
        <w:rPr>
          <w:spacing w:val="15"/>
          <w:position w:val="15"/>
        </w:rPr>
        <w:t>—</w:t>
      </w:r>
      <w:r>
        <w:rPr>
          <w:spacing w:val="-113"/>
          <w:position w:val="15"/>
        </w:rPr>
        <w:t xml:space="preserve"> </w:t>
      </w:r>
      <w:r>
        <w:rPr>
          <w:spacing w:val="15"/>
          <w:position w:val="15"/>
        </w:rPr>
        <w:t>—选择申报西部项目的申请人，不能再同时申报其他项目类</w:t>
      </w:r>
    </w:p>
    <w:p>
      <w:pPr>
        <w:pStyle w:val="2"/>
        <w:spacing w:line="222" w:lineRule="auto"/>
        <w:ind w:left="7"/>
      </w:pPr>
      <w:r>
        <w:rPr>
          <w:spacing w:val="6"/>
        </w:rPr>
        <w:t>别；反之亦然。</w:t>
      </w:r>
    </w:p>
    <w:p>
      <w:pPr>
        <w:pStyle w:val="2"/>
        <w:spacing w:before="144" w:line="521" w:lineRule="exact"/>
        <w:ind w:right="2"/>
        <w:jc w:val="right"/>
      </w:pPr>
      <w:r>
        <w:rPr>
          <w:spacing w:val="15"/>
          <w:position w:val="15"/>
        </w:rPr>
        <w:t>—</w:t>
      </w:r>
      <w:r>
        <w:rPr>
          <w:spacing w:val="-115"/>
          <w:position w:val="15"/>
        </w:rPr>
        <w:t xml:space="preserve"> </w:t>
      </w:r>
      <w:r>
        <w:rPr>
          <w:spacing w:val="15"/>
          <w:position w:val="15"/>
        </w:rPr>
        <w:t>—获准立项后，西部项目不得因其负责人工作调动而转出西</w:t>
      </w:r>
    </w:p>
    <w:p>
      <w:pPr>
        <w:pStyle w:val="2"/>
        <w:spacing w:before="1" w:line="222" w:lineRule="auto"/>
        <w:ind w:left="8"/>
      </w:pPr>
      <w:r>
        <w:rPr>
          <w:spacing w:val="4"/>
        </w:rPr>
        <w:t>部地区。</w:t>
      </w:r>
    </w:p>
    <w:p>
      <w:pPr>
        <w:spacing w:before="146" w:line="518" w:lineRule="exact"/>
        <w:ind w:left="9"/>
        <w:rPr>
          <w:rFonts w:ascii="黑体" w:hAnsi="黑体" w:eastAsia="黑体" w:cs="黑体"/>
          <w:sz w:val="31"/>
          <w:szCs w:val="31"/>
        </w:rPr>
      </w:pPr>
      <w:r>
        <w:rPr>
          <w:rFonts w:ascii="黑体" w:hAnsi="黑体" w:eastAsia="黑体" w:cs="黑体"/>
          <w:spacing w:val="9"/>
          <w:position w:val="14"/>
          <w:sz w:val="31"/>
          <w:szCs w:val="31"/>
        </w:rPr>
        <w:t>7.正在办理项目结项的、撤项或终止的项目负责人能否申报</w:t>
      </w:r>
    </w:p>
    <w:p>
      <w:pPr>
        <w:spacing w:before="1" w:line="226" w:lineRule="auto"/>
        <w:ind w:left="6"/>
        <w:rPr>
          <w:rFonts w:ascii="黑体" w:hAnsi="黑体" w:eastAsia="黑体" w:cs="黑体"/>
          <w:sz w:val="31"/>
          <w:szCs w:val="31"/>
        </w:rPr>
      </w:pPr>
      <w:r>
        <w:rPr>
          <w:rFonts w:ascii="黑体" w:hAnsi="黑体" w:eastAsia="黑体" w:cs="黑体"/>
          <w:spacing w:val="6"/>
          <w:sz w:val="31"/>
          <w:szCs w:val="31"/>
        </w:rPr>
        <w:t>2024</w:t>
      </w:r>
      <w:r>
        <w:rPr>
          <w:rFonts w:ascii="黑体" w:hAnsi="黑体" w:eastAsia="黑体" w:cs="黑体"/>
          <w:spacing w:val="-49"/>
          <w:sz w:val="31"/>
          <w:szCs w:val="31"/>
        </w:rPr>
        <w:t xml:space="preserve"> </w:t>
      </w:r>
      <w:r>
        <w:rPr>
          <w:rFonts w:ascii="黑体" w:hAnsi="黑体" w:eastAsia="黑体" w:cs="黑体"/>
          <w:spacing w:val="6"/>
          <w:sz w:val="31"/>
          <w:szCs w:val="31"/>
        </w:rPr>
        <w:t>年度全国教育科学规划项目？</w:t>
      </w:r>
    </w:p>
    <w:p>
      <w:pPr>
        <w:pStyle w:val="2"/>
        <w:spacing w:before="143" w:line="309" w:lineRule="auto"/>
        <w:ind w:left="35" w:hanging="12"/>
        <w:jc w:val="both"/>
      </w:pPr>
      <w:r>
        <w:rPr>
          <w:spacing w:val="4"/>
        </w:rPr>
        <w:t>—</w:t>
      </w:r>
      <w:r>
        <w:rPr>
          <w:spacing w:val="-101"/>
        </w:rPr>
        <w:t xml:space="preserve"> </w:t>
      </w:r>
      <w:r>
        <w:rPr>
          <w:spacing w:val="4"/>
        </w:rPr>
        <w:t>—结项证书标注日期在申报截止日期</w:t>
      </w:r>
      <w:r>
        <w:rPr>
          <w:spacing w:val="-41"/>
        </w:rPr>
        <w:t xml:space="preserve"> </w:t>
      </w:r>
      <w:r>
        <w:rPr>
          <w:spacing w:val="4"/>
        </w:rPr>
        <w:t>2024</w:t>
      </w:r>
      <w:r>
        <w:rPr>
          <w:spacing w:val="-51"/>
        </w:rPr>
        <w:t xml:space="preserve"> </w:t>
      </w:r>
      <w:r>
        <w:rPr>
          <w:spacing w:val="4"/>
        </w:rPr>
        <w:t>年</w:t>
      </w:r>
      <w:r>
        <w:rPr>
          <w:spacing w:val="-35"/>
        </w:rPr>
        <w:t xml:space="preserve"> </w:t>
      </w:r>
      <w:r>
        <w:rPr>
          <w:spacing w:val="4"/>
        </w:rPr>
        <w:t>5</w:t>
      </w:r>
      <w:r>
        <w:rPr>
          <w:spacing w:val="-38"/>
        </w:rPr>
        <w:t xml:space="preserve"> </w:t>
      </w:r>
      <w:r>
        <w:rPr>
          <w:spacing w:val="4"/>
        </w:rPr>
        <w:t>月</w:t>
      </w:r>
      <w:r>
        <w:rPr>
          <w:spacing w:val="-27"/>
        </w:rPr>
        <w:t xml:space="preserve"> </w:t>
      </w:r>
      <w:r>
        <w:rPr>
          <w:spacing w:val="4"/>
        </w:rPr>
        <w:t>31 日之前</w:t>
      </w:r>
      <w:r>
        <w:t xml:space="preserve"> </w:t>
      </w:r>
      <w:r>
        <w:rPr>
          <w:spacing w:val="16"/>
        </w:rPr>
        <w:t>的，可以申报本年度项目。</w:t>
      </w:r>
      <w:r>
        <w:rPr>
          <w:spacing w:val="16"/>
          <w14:textOutline w14:w="5793" w14:cap="sq" w14:cmpd="sng">
            <w14:solidFill>
              <w14:srgbClr w14:val="000000"/>
            </w14:solidFill>
            <w14:prstDash w14:val="solid"/>
            <w14:bevel/>
          </w14:textOutline>
        </w:rPr>
        <w:t>在此之前虽然提交了结项材料但未</w:t>
      </w:r>
    </w:p>
    <w:p>
      <w:pPr>
        <w:pStyle w:val="2"/>
        <w:spacing w:before="1" w:line="222" w:lineRule="auto"/>
        <w:ind w:left="14"/>
      </w:pPr>
      <w:r>
        <w:rPr>
          <w:spacing w:val="8"/>
          <w14:textOutline w14:w="5793" w14:cap="sq" w14:cmpd="sng">
            <w14:solidFill>
              <w14:srgbClr w14:val="000000"/>
            </w14:solidFill>
            <w14:prstDash w14:val="solid"/>
            <w14:bevel/>
          </w14:textOutline>
        </w:rPr>
        <w:t>获得结项证书者不得申报。</w:t>
      </w:r>
    </w:p>
    <w:p>
      <w:pPr>
        <w:pStyle w:val="2"/>
        <w:spacing w:before="147" w:line="521" w:lineRule="exact"/>
        <w:ind w:right="2"/>
        <w:jc w:val="right"/>
      </w:pPr>
      <w:r>
        <w:rPr>
          <w:spacing w:val="15"/>
          <w:position w:val="15"/>
        </w:rPr>
        <w:t>—</w:t>
      </w:r>
      <w:r>
        <w:rPr>
          <w:spacing w:val="-115"/>
          <w:position w:val="15"/>
        </w:rPr>
        <w:t xml:space="preserve"> </w:t>
      </w:r>
      <w:r>
        <w:rPr>
          <w:spacing w:val="15"/>
          <w:position w:val="15"/>
        </w:rPr>
        <w:t>—近五年有撤项或终止的项目负责人，不能申报或作为项目</w:t>
      </w:r>
    </w:p>
    <w:p>
      <w:pPr>
        <w:pStyle w:val="2"/>
        <w:spacing w:before="1" w:line="222" w:lineRule="auto"/>
        <w:ind w:left="12"/>
      </w:pPr>
      <w:r>
        <w:rPr>
          <w:spacing w:val="8"/>
        </w:rPr>
        <w:t>组成员参与申报本年度各级各类项目。</w:t>
      </w:r>
    </w:p>
    <w:p>
      <w:pPr>
        <w:spacing w:before="143" w:line="521" w:lineRule="exact"/>
        <w:ind w:left="4"/>
        <w:rPr>
          <w:rFonts w:ascii="黑体" w:hAnsi="黑体" w:eastAsia="黑体" w:cs="黑体"/>
          <w:sz w:val="31"/>
          <w:szCs w:val="31"/>
        </w:rPr>
      </w:pPr>
      <w:r>
        <w:rPr>
          <w:rFonts w:ascii="黑体" w:hAnsi="黑体" w:eastAsia="黑体" w:cs="黑体"/>
          <w:spacing w:val="9"/>
          <w:position w:val="14"/>
          <w:sz w:val="31"/>
          <w:szCs w:val="31"/>
        </w:rPr>
        <w:t>8.副教授/副研究员及其他系列（含中小学）副高级职称可以申</w:t>
      </w:r>
    </w:p>
    <w:p>
      <w:pPr>
        <w:spacing w:before="1" w:line="226" w:lineRule="auto"/>
        <w:ind w:left="6"/>
        <w:rPr>
          <w:rFonts w:ascii="黑体" w:hAnsi="黑体" w:eastAsia="黑体" w:cs="黑体"/>
          <w:sz w:val="31"/>
          <w:szCs w:val="31"/>
        </w:rPr>
      </w:pPr>
      <w:r>
        <w:rPr>
          <w:rFonts w:ascii="黑体" w:hAnsi="黑体" w:eastAsia="黑体" w:cs="黑体"/>
          <w:spacing w:val="8"/>
          <w:sz w:val="31"/>
          <w:szCs w:val="31"/>
        </w:rPr>
        <w:t>报国家社科基金一般项目吗？</w:t>
      </w:r>
    </w:p>
    <w:p>
      <w:pPr>
        <w:pStyle w:val="2"/>
        <w:spacing w:before="142" w:line="223" w:lineRule="auto"/>
        <w:ind w:left="23"/>
      </w:pPr>
      <w:r>
        <w:rPr>
          <w:spacing w:val="2"/>
        </w:rPr>
        <w:t>——可以。</w:t>
      </w:r>
    </w:p>
    <w:p>
      <w:pPr>
        <w:spacing w:before="143" w:line="226" w:lineRule="auto"/>
        <w:rPr>
          <w:rFonts w:ascii="黑体" w:hAnsi="黑体" w:eastAsia="黑体" w:cs="黑体"/>
          <w:sz w:val="31"/>
          <w:szCs w:val="31"/>
        </w:rPr>
      </w:pPr>
      <w:r>
        <w:rPr>
          <w:rFonts w:ascii="黑体" w:hAnsi="黑体" w:eastAsia="黑体" w:cs="黑体"/>
          <w:spacing w:val="9"/>
          <w:sz w:val="31"/>
          <w:szCs w:val="31"/>
        </w:rPr>
        <w:t>9.对项目组成员的年龄、职称、职务、国籍等有限制吗？</w:t>
      </w:r>
    </w:p>
    <w:p>
      <w:pPr>
        <w:pStyle w:val="2"/>
        <w:spacing w:before="142" w:line="521" w:lineRule="exact"/>
        <w:ind w:left="23"/>
      </w:pPr>
      <w:r>
        <w:rPr>
          <w:spacing w:val="12"/>
          <w:position w:val="15"/>
        </w:rPr>
        <w:t>—</w:t>
      </w:r>
      <w:r>
        <w:rPr>
          <w:spacing w:val="-118"/>
          <w:position w:val="15"/>
        </w:rPr>
        <w:t xml:space="preserve"> </w:t>
      </w:r>
      <w:r>
        <w:rPr>
          <w:spacing w:val="12"/>
          <w:position w:val="15"/>
        </w:rPr>
        <w:t>—没有限制。证件号一栏请选择填写身份证号</w:t>
      </w:r>
      <w:r>
        <w:rPr>
          <w:spacing w:val="11"/>
          <w:position w:val="15"/>
        </w:rPr>
        <w:t>、</w:t>
      </w:r>
      <w:r>
        <w:rPr>
          <w:spacing w:val="-82"/>
          <w:position w:val="15"/>
        </w:rPr>
        <w:t xml:space="preserve"> </w:t>
      </w:r>
      <w:r>
        <w:rPr>
          <w:spacing w:val="11"/>
          <w:position w:val="15"/>
        </w:rPr>
        <w:t>台胞证号、</w:t>
      </w:r>
    </w:p>
    <w:p>
      <w:pPr>
        <w:pStyle w:val="2"/>
        <w:spacing w:line="221" w:lineRule="auto"/>
        <w:ind w:left="17"/>
      </w:pPr>
      <w:r>
        <w:rPr>
          <w:spacing w:val="8"/>
        </w:rPr>
        <w:t>港澳通行证号、护照号等有效证件号码。</w:t>
      </w:r>
    </w:p>
    <w:p>
      <w:pPr>
        <w:spacing w:before="146" w:line="521" w:lineRule="exact"/>
        <w:ind w:left="24"/>
        <w:rPr>
          <w:rFonts w:ascii="黑体" w:hAnsi="黑体" w:eastAsia="黑体" w:cs="黑体"/>
          <w:sz w:val="31"/>
          <w:szCs w:val="31"/>
        </w:rPr>
      </w:pPr>
      <w:r>
        <w:rPr>
          <w:rFonts w:ascii="黑体" w:hAnsi="黑体" w:eastAsia="黑体" w:cs="黑体"/>
          <w:spacing w:val="8"/>
          <w:position w:val="14"/>
          <w:sz w:val="31"/>
          <w:szCs w:val="31"/>
        </w:rPr>
        <w:t>10.《活页》的有关论证中能否出现申请人已发表文章的文章题</w:t>
      </w:r>
    </w:p>
    <w:p>
      <w:pPr>
        <w:spacing w:line="227" w:lineRule="auto"/>
        <w:ind w:left="48"/>
        <w:rPr>
          <w:rFonts w:ascii="黑体" w:hAnsi="黑体" w:eastAsia="黑体" w:cs="黑体"/>
          <w:sz w:val="31"/>
          <w:szCs w:val="31"/>
        </w:rPr>
      </w:pPr>
      <w:r>
        <w:rPr>
          <w:rFonts w:ascii="黑体" w:hAnsi="黑体" w:eastAsia="黑体" w:cs="黑体"/>
          <w:spacing w:val="3"/>
          <w:sz w:val="31"/>
          <w:szCs w:val="31"/>
        </w:rPr>
        <w:t>目及承担项目的名称？</w:t>
      </w:r>
    </w:p>
    <w:p>
      <w:pPr>
        <w:pStyle w:val="2"/>
        <w:spacing w:before="141" w:line="220" w:lineRule="auto"/>
        <w:jc w:val="right"/>
      </w:pPr>
      <w:r>
        <w:rPr>
          <w:spacing w:val="12"/>
        </w:rPr>
        <w:t>—</w:t>
      </w:r>
      <w:r>
        <w:rPr>
          <w:spacing w:val="-113"/>
        </w:rPr>
        <w:t xml:space="preserve"> </w:t>
      </w:r>
      <w:r>
        <w:rPr>
          <w:spacing w:val="12"/>
        </w:rPr>
        <w:t>—《活页》</w:t>
      </w:r>
      <w:r>
        <w:rPr>
          <w:spacing w:val="-76"/>
        </w:rPr>
        <w:t xml:space="preserve"> </w:t>
      </w:r>
      <w:r>
        <w:rPr>
          <w:spacing w:val="12"/>
        </w:rPr>
        <w:t>中不可以出现申请人及成员承担的项目名称，可</w:t>
      </w:r>
    </w:p>
    <w:p>
      <w:pPr>
        <w:spacing w:line="220" w:lineRule="auto"/>
        <w:sectPr>
          <w:footerReference r:id="rId15" w:type="default"/>
          <w:pgSz w:w="11907" w:h="16840"/>
          <w:pgMar w:top="400" w:right="1474" w:bottom="1371" w:left="1590" w:header="0" w:footer="1202"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2"/>
        <w:spacing w:before="100" w:line="310" w:lineRule="auto"/>
        <w:ind w:left="8" w:right="38" w:hanging="3"/>
        <w:jc w:val="both"/>
      </w:pPr>
      <w:r>
        <w:rPr>
          <w:spacing w:val="17"/>
        </w:rPr>
        <w:t>用学科名称替代，可以出现资助基金名称及立项年份。如：主</w:t>
      </w:r>
      <w:r>
        <w:rPr>
          <w:spacing w:val="1"/>
        </w:rPr>
        <w:t xml:space="preserve"> </w:t>
      </w:r>
      <w:r>
        <w:rPr>
          <w:spacing w:val="12"/>
        </w:rPr>
        <w:t>持全国教育科学规划教育部重点教育心理项目，2020</w:t>
      </w:r>
      <w:r>
        <w:rPr>
          <w:spacing w:val="-47"/>
        </w:rPr>
        <w:t xml:space="preserve"> </w:t>
      </w:r>
      <w:r>
        <w:rPr>
          <w:spacing w:val="12"/>
        </w:rPr>
        <w:t>年；参与</w:t>
      </w:r>
    </w:p>
    <w:p>
      <w:pPr>
        <w:pStyle w:val="2"/>
        <w:spacing w:line="222" w:lineRule="auto"/>
        <w:ind w:left="5"/>
      </w:pPr>
      <w:r>
        <w:rPr>
          <w:spacing w:val="7"/>
        </w:rPr>
        <w:t>教育部人文社科一般项目高等教育项目，2021</w:t>
      </w:r>
      <w:r>
        <w:rPr>
          <w:spacing w:val="-48"/>
        </w:rPr>
        <w:t xml:space="preserve"> </w:t>
      </w:r>
      <w:r>
        <w:rPr>
          <w:spacing w:val="7"/>
        </w:rPr>
        <w:t>年。</w:t>
      </w:r>
    </w:p>
    <w:p>
      <w:pPr>
        <w:spacing w:before="143" w:line="227" w:lineRule="auto"/>
        <w:ind w:left="21"/>
        <w:rPr>
          <w:rFonts w:ascii="黑体" w:hAnsi="黑体" w:eastAsia="黑体" w:cs="黑体"/>
          <w:sz w:val="31"/>
          <w:szCs w:val="31"/>
        </w:rPr>
      </w:pPr>
      <w:r>
        <w:rPr>
          <w:rFonts w:ascii="黑体" w:hAnsi="黑体" w:eastAsia="黑体" w:cs="黑体"/>
          <w:spacing w:val="6"/>
          <w:sz w:val="31"/>
          <w:szCs w:val="31"/>
        </w:rPr>
        <w:t>11.经费预算填报有何要求？</w:t>
      </w:r>
    </w:p>
    <w:p>
      <w:pPr>
        <w:pStyle w:val="2"/>
        <w:spacing w:before="142" w:line="309" w:lineRule="auto"/>
        <w:ind w:left="10" w:right="35" w:firstLine="9"/>
        <w:jc w:val="both"/>
      </w:pPr>
      <w:r>
        <w:rPr>
          <w:spacing w:val="13"/>
        </w:rPr>
        <w:t>—</w:t>
      </w:r>
      <w:r>
        <w:rPr>
          <w:spacing w:val="-118"/>
        </w:rPr>
        <w:t xml:space="preserve"> </w:t>
      </w:r>
      <w:r>
        <w:rPr>
          <w:spacing w:val="13"/>
        </w:rPr>
        <w:t>—</w:t>
      </w:r>
      <w:r>
        <w:rPr>
          <w:spacing w:val="-88"/>
        </w:rPr>
        <w:t xml:space="preserve"> </w:t>
      </w:r>
      <w:r>
        <w:rPr>
          <w:spacing w:val="13"/>
        </w:rPr>
        <w:t>申请人应按照《国家社会科学基金管理</w:t>
      </w:r>
      <w:r>
        <w:rPr>
          <w:spacing w:val="12"/>
        </w:rPr>
        <w:t>办法》和《国家社</w:t>
      </w:r>
      <w:r>
        <w:t xml:space="preserve"> </w:t>
      </w:r>
      <w:r>
        <w:rPr>
          <w:spacing w:val="17"/>
        </w:rPr>
        <w:t>会科学基金项目资金管理办法》（详见我办网站）要</w:t>
      </w:r>
      <w:r>
        <w:rPr>
          <w:spacing w:val="16"/>
        </w:rPr>
        <w:t>求，根据</w:t>
      </w:r>
    </w:p>
    <w:p>
      <w:pPr>
        <w:pStyle w:val="2"/>
        <w:spacing w:before="1" w:line="221" w:lineRule="auto"/>
        <w:ind w:left="21"/>
      </w:pPr>
      <w:r>
        <w:rPr>
          <w:spacing w:val="7"/>
        </w:rPr>
        <w:t>实际需要编制科学合理的经费预算。</w:t>
      </w:r>
    </w:p>
    <w:p>
      <w:pPr>
        <w:spacing w:before="148" w:line="226" w:lineRule="auto"/>
        <w:ind w:left="21"/>
        <w:rPr>
          <w:rFonts w:ascii="黑体" w:hAnsi="黑体" w:eastAsia="黑体" w:cs="黑体"/>
          <w:sz w:val="31"/>
          <w:szCs w:val="31"/>
        </w:rPr>
      </w:pPr>
      <w:r>
        <w:rPr>
          <w:rFonts w:ascii="黑体" w:hAnsi="黑体" w:eastAsia="黑体" w:cs="黑体"/>
          <w:spacing w:val="7"/>
          <w:sz w:val="31"/>
          <w:szCs w:val="31"/>
        </w:rPr>
        <w:t>12.平台申报中文本的常见问题如何处理？</w:t>
      </w:r>
    </w:p>
    <w:p>
      <w:pPr>
        <w:pStyle w:val="2"/>
        <w:spacing w:before="142" w:line="519" w:lineRule="exact"/>
        <w:ind w:left="20"/>
      </w:pPr>
      <w:r>
        <w:rPr>
          <w:spacing w:val="15"/>
          <w:position w:val="15"/>
        </w:rPr>
        <w:t>—</w:t>
      </w:r>
      <w:r>
        <w:rPr>
          <w:spacing w:val="-115"/>
          <w:position w:val="15"/>
        </w:rPr>
        <w:t xml:space="preserve"> </w:t>
      </w:r>
      <w:r>
        <w:rPr>
          <w:spacing w:val="15"/>
          <w:position w:val="15"/>
        </w:rPr>
        <w:t>—导出来的申请书和活页的命名可用自带命名或做任何命名</w:t>
      </w:r>
    </w:p>
    <w:p>
      <w:pPr>
        <w:pStyle w:val="2"/>
        <w:spacing w:before="1" w:line="221" w:lineRule="auto"/>
      </w:pPr>
      <w:r>
        <w:rPr>
          <w:spacing w:val="9"/>
        </w:rPr>
        <w:t>都可以。评审时系统将会全部做匿名处理。</w:t>
      </w:r>
    </w:p>
    <w:p>
      <w:pPr>
        <w:pStyle w:val="2"/>
        <w:spacing w:before="150" w:line="309" w:lineRule="auto"/>
        <w:ind w:left="1" w:firstLine="18"/>
        <w:jc w:val="both"/>
      </w:pPr>
      <w:r>
        <w:rPr>
          <w:spacing w:val="3"/>
        </w:rPr>
        <w:t>——扫描后，</w:t>
      </w:r>
      <w:r>
        <w:rPr>
          <w:spacing w:val="-66"/>
        </w:rPr>
        <w:t xml:space="preserve"> </w:t>
      </w:r>
      <w:r>
        <w:rPr>
          <w:spacing w:val="3"/>
        </w:rPr>
        <w:t>申请书上的水印变淡甚至看不太清楚。没有关系，</w:t>
      </w:r>
      <w:r>
        <w:t xml:space="preserve"> </w:t>
      </w:r>
      <w:r>
        <w:rPr>
          <w:spacing w:val="14"/>
        </w:rPr>
        <w:t>保证申请书的内容与平台上一致即可。</w:t>
      </w:r>
      <w:r>
        <w:rPr>
          <w:spacing w:val="-87"/>
        </w:rPr>
        <w:t xml:space="preserve"> </w:t>
      </w:r>
      <w:r>
        <w:rPr>
          <w:spacing w:val="14"/>
        </w:rPr>
        <w:t>活页转换成</w:t>
      </w:r>
      <w:r>
        <w:rPr>
          <w:spacing w:val="-54"/>
        </w:rPr>
        <w:t xml:space="preserve"> </w:t>
      </w:r>
      <w:r>
        <w:t>PDF</w:t>
      </w:r>
      <w:r>
        <w:rPr>
          <w:spacing w:val="-51"/>
        </w:rPr>
        <w:t xml:space="preserve"> </w:t>
      </w:r>
      <w:r>
        <w:rPr>
          <w:spacing w:val="14"/>
        </w:rPr>
        <w:t>后</w:t>
      </w:r>
      <w:r>
        <w:rPr>
          <w:spacing w:val="13"/>
        </w:rPr>
        <w:t>的水</w:t>
      </w:r>
    </w:p>
    <w:p>
      <w:pPr>
        <w:pStyle w:val="2"/>
        <w:spacing w:line="220" w:lineRule="auto"/>
        <w:ind w:left="44"/>
      </w:pPr>
      <w:r>
        <w:rPr>
          <w:spacing w:val="2"/>
        </w:rPr>
        <w:t>印一定要比较清晰。</w:t>
      </w:r>
    </w:p>
    <w:p>
      <w:pPr>
        <w:spacing w:before="150" w:line="226" w:lineRule="auto"/>
        <w:ind w:left="21"/>
        <w:rPr>
          <w:rFonts w:ascii="黑体" w:hAnsi="黑体" w:eastAsia="黑体" w:cs="黑体"/>
          <w:sz w:val="31"/>
          <w:szCs w:val="31"/>
        </w:rPr>
      </w:pPr>
      <w:r>
        <w:rPr>
          <w:rFonts w:ascii="黑体" w:hAnsi="黑体" w:eastAsia="黑体" w:cs="黑体"/>
          <w:spacing w:val="7"/>
          <w:sz w:val="31"/>
          <w:szCs w:val="31"/>
        </w:rPr>
        <w:t>13.申报材料是否已经在网上顺利提交？</w:t>
      </w:r>
    </w:p>
    <w:p>
      <w:pPr>
        <w:pStyle w:val="2"/>
        <w:spacing w:before="139" w:line="310" w:lineRule="auto"/>
        <w:ind w:left="3" w:right="38" w:firstLine="16"/>
      </w:pPr>
      <w:r>
        <w:rPr>
          <w:spacing w:val="10"/>
        </w:rPr>
        <w:t>——</w:t>
      </w:r>
      <w:r>
        <w:rPr>
          <w:spacing w:val="-74"/>
        </w:rPr>
        <w:t xml:space="preserve"> </w:t>
      </w:r>
      <w:r>
        <w:rPr>
          <w:spacing w:val="10"/>
        </w:rPr>
        <w:t>申报材料全部填写好后，</w:t>
      </w:r>
      <w:r>
        <w:rPr>
          <w:spacing w:val="10"/>
          <w14:textOutline w14:w="5793" w14:cap="sq" w14:cmpd="sng">
            <w14:solidFill>
              <w14:srgbClr w14:val="000000"/>
            </w14:solidFill>
            <w14:prstDash w14:val="solid"/>
            <w14:bevel/>
          </w14:textOutline>
        </w:rPr>
        <w:t>提示</w:t>
      </w:r>
      <w:r>
        <w:rPr>
          <w:spacing w:val="-97"/>
        </w:rPr>
        <w:t xml:space="preserve"> </w:t>
      </w:r>
      <w:r>
        <w:rPr>
          <w:spacing w:val="10"/>
          <w14:textOutline w14:w="5793" w14:cap="sq" w14:cmpd="sng">
            <w14:solidFill>
              <w14:srgbClr w14:val="000000"/>
            </w14:solidFill>
            <w14:prstDash w14:val="solid"/>
            <w14:bevel/>
          </w14:textOutline>
        </w:rPr>
        <w:t>“</w:t>
      </w:r>
      <w:r>
        <w:rPr>
          <w:spacing w:val="-119"/>
        </w:rPr>
        <w:t xml:space="preserve"> </w:t>
      </w:r>
      <w:r>
        <w:rPr>
          <w:spacing w:val="10"/>
          <w14:textOutline w14:w="5793" w14:cap="sq" w14:cmpd="sng">
            <w14:solidFill>
              <w14:srgbClr w14:val="000000"/>
            </w14:solidFill>
            <w14:prstDash w14:val="solid"/>
            <w14:bevel/>
          </w14:textOutline>
        </w:rPr>
        <w:t>暂存”状态的，请一定记</w:t>
      </w:r>
      <w:r>
        <w:t xml:space="preserve"> </w:t>
      </w:r>
      <w:r>
        <w:rPr>
          <w:spacing w:val="-2"/>
          <w14:textOutline w14:w="5793" w14:cap="sq" w14:cmpd="sng">
            <w14:solidFill>
              <w14:srgbClr w14:val="000000"/>
            </w14:solidFill>
            <w14:prstDash w14:val="solid"/>
            <w14:bevel/>
          </w14:textOutline>
        </w:rPr>
        <w:t>得</w:t>
      </w:r>
      <w:r>
        <w:rPr>
          <w:spacing w:val="-2"/>
        </w:rPr>
        <w:t>在截止日期</w:t>
      </w:r>
      <w:r>
        <w:rPr>
          <w:spacing w:val="-48"/>
        </w:rPr>
        <w:t xml:space="preserve"> </w:t>
      </w:r>
      <w:r>
        <w:rPr>
          <w:spacing w:val="-2"/>
        </w:rPr>
        <w:t>2024</w:t>
      </w:r>
      <w:r>
        <w:rPr>
          <w:spacing w:val="-59"/>
        </w:rPr>
        <w:t xml:space="preserve"> </w:t>
      </w:r>
      <w:r>
        <w:rPr>
          <w:spacing w:val="-2"/>
        </w:rPr>
        <w:t>年</w:t>
      </w:r>
      <w:r>
        <w:rPr>
          <w:spacing w:val="-44"/>
        </w:rPr>
        <w:t xml:space="preserve"> </w:t>
      </w:r>
      <w:r>
        <w:rPr>
          <w:spacing w:val="-2"/>
        </w:rPr>
        <w:t>5</w:t>
      </w:r>
      <w:r>
        <w:rPr>
          <w:spacing w:val="-46"/>
        </w:rPr>
        <w:t xml:space="preserve"> </w:t>
      </w:r>
      <w:r>
        <w:rPr>
          <w:spacing w:val="-2"/>
        </w:rPr>
        <w:t>月</w:t>
      </w:r>
      <w:r>
        <w:rPr>
          <w:spacing w:val="-38"/>
        </w:rPr>
        <w:t xml:space="preserve"> </w:t>
      </w:r>
      <w:r>
        <w:rPr>
          <w:spacing w:val="-2"/>
        </w:rPr>
        <w:t>31 日</w:t>
      </w:r>
      <w:r>
        <w:rPr>
          <w:spacing w:val="-41"/>
        </w:rPr>
        <w:t xml:space="preserve"> </w:t>
      </w:r>
      <w:r>
        <w:rPr>
          <w:spacing w:val="-2"/>
        </w:rPr>
        <w:t>17</w:t>
      </w:r>
      <w:r>
        <w:rPr>
          <w:spacing w:val="-34"/>
        </w:rPr>
        <w:t xml:space="preserve"> </w:t>
      </w:r>
      <w:r>
        <w:rPr>
          <w:spacing w:val="-2"/>
        </w:rPr>
        <w:t>时之前</w:t>
      </w:r>
      <w:r>
        <w:rPr>
          <w:spacing w:val="-2"/>
          <w14:textOutline w14:w="5793" w14:cap="sq" w14:cmpd="sng">
            <w14:solidFill>
              <w14:srgbClr w14:val="000000"/>
            </w14:solidFill>
            <w14:prstDash w14:val="solid"/>
            <w14:bevel/>
          </w14:textOutline>
        </w:rPr>
        <w:t>点击</w:t>
      </w:r>
      <w:r>
        <w:rPr>
          <w:spacing w:val="-103"/>
        </w:rPr>
        <w:t xml:space="preserve"> </w:t>
      </w:r>
      <w:r>
        <w:rPr>
          <w:spacing w:val="-2"/>
          <w14:textOutline w14:w="5793" w14:cap="sq" w14:cmpd="sng">
            <w14:solidFill>
              <w14:srgbClr w14:val="000000"/>
            </w14:solidFill>
            <w14:prstDash w14:val="solid"/>
            <w14:bevel/>
          </w14:textOutline>
        </w:rPr>
        <w:t>“提交”按</w:t>
      </w:r>
      <w:r>
        <w:rPr>
          <w:spacing w:val="-3"/>
          <w14:textOutline w14:w="5793" w14:cap="sq" w14:cmpd="sng">
            <w14:solidFill>
              <w14:srgbClr w14:val="000000"/>
            </w14:solidFill>
            <w14:prstDash w14:val="solid"/>
            <w14:bevel/>
          </w14:textOutline>
        </w:rPr>
        <w:t>钮</w:t>
      </w:r>
      <w:r>
        <w:rPr>
          <w:spacing w:val="-3"/>
        </w:rPr>
        <w:t>。</w:t>
      </w:r>
      <w:r>
        <w:t xml:space="preserve"> </w:t>
      </w:r>
      <w:r>
        <w:rPr>
          <w:spacing w:val="11"/>
        </w:rPr>
        <w:t>—</w:t>
      </w:r>
      <w:r>
        <w:rPr>
          <w:spacing w:val="-117"/>
        </w:rPr>
        <w:t xml:space="preserve"> </w:t>
      </w:r>
      <w:r>
        <w:rPr>
          <w:spacing w:val="11"/>
        </w:rPr>
        <w:t>—提交后状态变为</w:t>
      </w:r>
      <w:r>
        <w:rPr>
          <w:spacing w:val="-95"/>
        </w:rPr>
        <w:t xml:space="preserve"> </w:t>
      </w:r>
      <w:r>
        <w:rPr>
          <w:spacing w:val="11"/>
        </w:rPr>
        <w:t>“</w:t>
      </w:r>
      <w:r>
        <w:rPr>
          <w:spacing w:val="-82"/>
        </w:rPr>
        <w:t xml:space="preserve"> </w:t>
      </w:r>
      <w:r>
        <w:rPr>
          <w:spacing w:val="11"/>
        </w:rPr>
        <w:t>已提交，等待责任单位</w:t>
      </w:r>
      <w:r>
        <w:rPr>
          <w:spacing w:val="10"/>
        </w:rPr>
        <w:t>科研管理部门审</w:t>
      </w:r>
      <w:r>
        <w:t xml:space="preserve"> </w:t>
      </w:r>
      <w:r>
        <w:rPr>
          <w:spacing w:val="17"/>
        </w:rPr>
        <w:t>核”状态的，</w:t>
      </w:r>
      <w:r>
        <w:rPr>
          <w:spacing w:val="17"/>
          <w14:textOutline w14:w="5793" w14:cap="sq" w14:cmpd="sng">
            <w14:solidFill>
              <w14:srgbClr w14:val="000000"/>
            </w14:solidFill>
            <w14:prstDash w14:val="solid"/>
            <w14:bevel/>
          </w14:textOutline>
        </w:rPr>
        <w:t>非部委直属高校和直属单位、部省合建高校申请</w:t>
      </w:r>
      <w:r>
        <w:rPr>
          <w:spacing w:val="2"/>
        </w:rPr>
        <w:t xml:space="preserve"> </w:t>
      </w:r>
      <w:r>
        <w:rPr>
          <w:spacing w:val="5"/>
          <w14:textOutline w14:w="5793" w14:cap="sq" w14:cmpd="sng">
            <w14:solidFill>
              <w14:srgbClr w14:val="000000"/>
            </w14:solidFill>
            <w14:prstDash w14:val="solid"/>
            <w14:bevel/>
          </w14:textOutline>
        </w:rPr>
        <w:t>人</w:t>
      </w:r>
      <w:r>
        <w:rPr>
          <w:spacing w:val="5"/>
        </w:rPr>
        <w:t>请一定记得在截止日期</w:t>
      </w:r>
      <w:r>
        <w:rPr>
          <w:spacing w:val="-23"/>
        </w:rPr>
        <w:t xml:space="preserve"> </w:t>
      </w:r>
      <w:r>
        <w:rPr>
          <w:spacing w:val="5"/>
        </w:rPr>
        <w:t>5</w:t>
      </w:r>
      <w:r>
        <w:rPr>
          <w:spacing w:val="-39"/>
        </w:rPr>
        <w:t xml:space="preserve"> </w:t>
      </w:r>
      <w:r>
        <w:rPr>
          <w:spacing w:val="5"/>
        </w:rPr>
        <w:t>月</w:t>
      </w:r>
      <w:r>
        <w:rPr>
          <w:spacing w:val="-29"/>
        </w:rPr>
        <w:t xml:space="preserve"> </w:t>
      </w:r>
      <w:r>
        <w:rPr>
          <w:spacing w:val="5"/>
        </w:rPr>
        <w:t>31 日</w:t>
      </w:r>
      <w:r>
        <w:rPr>
          <w:spacing w:val="-33"/>
        </w:rPr>
        <w:t xml:space="preserve"> </w:t>
      </w:r>
      <w:r>
        <w:rPr>
          <w:spacing w:val="5"/>
        </w:rPr>
        <w:t>17</w:t>
      </w:r>
      <w:r>
        <w:rPr>
          <w:spacing w:val="-25"/>
        </w:rPr>
        <w:t xml:space="preserve"> </w:t>
      </w:r>
      <w:r>
        <w:rPr>
          <w:spacing w:val="5"/>
        </w:rPr>
        <w:t>时之前联系本单位科研</w:t>
      </w:r>
    </w:p>
    <w:p>
      <w:pPr>
        <w:pStyle w:val="2"/>
        <w:spacing w:line="221" w:lineRule="auto"/>
        <w:ind w:left="6"/>
      </w:pPr>
      <w:r>
        <w:rPr>
          <w:spacing w:val="10"/>
        </w:rPr>
        <w:t>管理人员及时审核。</w:t>
      </w:r>
      <w:r>
        <w:rPr>
          <w:spacing w:val="10"/>
          <w14:textOutline w14:w="5793" w14:cap="sq" w14:cmpd="sng">
            <w14:solidFill>
              <w14:srgbClr w14:val="000000"/>
            </w14:solidFill>
            <w14:prstDash w14:val="solid"/>
            <w14:bevel/>
          </w14:textOutline>
        </w:rPr>
        <w:t>注意本单位审核与提交的截</w:t>
      </w:r>
      <w:r>
        <w:rPr>
          <w:spacing w:val="9"/>
          <w14:textOutline w14:w="5793" w14:cap="sq" w14:cmpd="sng">
            <w14:solidFill>
              <w14:srgbClr w14:val="000000"/>
            </w14:solidFill>
            <w14:prstDash w14:val="solid"/>
            <w14:bevel/>
          </w14:textOutline>
        </w:rPr>
        <w:t>止时间一致。</w:t>
      </w:r>
    </w:p>
    <w:p>
      <w:pPr>
        <w:pStyle w:val="2"/>
        <w:spacing w:before="151" w:line="309" w:lineRule="auto"/>
        <w:ind w:left="2" w:right="36" w:firstLine="17"/>
      </w:pPr>
      <w:r>
        <w:rPr>
          <w:spacing w:val="14"/>
        </w:rPr>
        <w:t>—</w:t>
      </w:r>
      <w:r>
        <w:rPr>
          <w:spacing w:val="-118"/>
        </w:rPr>
        <w:t xml:space="preserve"> </w:t>
      </w:r>
      <w:r>
        <w:rPr>
          <w:spacing w:val="14"/>
        </w:rPr>
        <w:t>—</w:t>
      </w:r>
      <w:r>
        <w:rPr>
          <w:spacing w:val="-117"/>
        </w:rPr>
        <w:t xml:space="preserve"> </w:t>
      </w:r>
      <w:r>
        <w:rPr>
          <w:spacing w:val="14"/>
        </w:rPr>
        <w:t>二级管理单位（含各省级教育规划办、</w:t>
      </w:r>
      <w:r>
        <w:rPr>
          <w:spacing w:val="13"/>
        </w:rPr>
        <w:t>部委直属高校和直</w:t>
      </w:r>
      <w:r>
        <w:t xml:space="preserve"> </w:t>
      </w:r>
      <w:r>
        <w:rPr>
          <w:spacing w:val="7"/>
        </w:rPr>
        <w:t>属单位、部省合建高校）的审核提交截止时间为</w:t>
      </w:r>
      <w:r>
        <w:rPr>
          <w:spacing w:val="-28"/>
        </w:rPr>
        <w:t xml:space="preserve"> </w:t>
      </w:r>
      <w:r>
        <w:rPr>
          <w:spacing w:val="7"/>
        </w:rPr>
        <w:t>2024</w:t>
      </w:r>
      <w:r>
        <w:rPr>
          <w:spacing w:val="-53"/>
        </w:rPr>
        <w:t xml:space="preserve"> </w:t>
      </w:r>
      <w:r>
        <w:rPr>
          <w:spacing w:val="7"/>
        </w:rPr>
        <w:t>年</w:t>
      </w:r>
      <w:r>
        <w:rPr>
          <w:spacing w:val="-41"/>
        </w:rPr>
        <w:t xml:space="preserve"> </w:t>
      </w:r>
      <w:r>
        <w:rPr>
          <w:spacing w:val="7"/>
        </w:rPr>
        <w:t>6</w:t>
      </w:r>
      <w:r>
        <w:rPr>
          <w:spacing w:val="-41"/>
        </w:rPr>
        <w:t xml:space="preserve"> </w:t>
      </w:r>
      <w:r>
        <w:rPr>
          <w:spacing w:val="7"/>
        </w:rPr>
        <w:t>月</w:t>
      </w:r>
      <w:r>
        <w:rPr>
          <w:spacing w:val="-41"/>
        </w:rPr>
        <w:t xml:space="preserve"> </w:t>
      </w:r>
      <w:r>
        <w:rPr>
          <w:spacing w:val="7"/>
        </w:rPr>
        <w:t>7</w:t>
      </w:r>
    </w:p>
    <w:p>
      <w:pPr>
        <w:pStyle w:val="2"/>
        <w:spacing w:line="223" w:lineRule="auto"/>
        <w:ind w:left="65"/>
      </w:pPr>
      <w:r>
        <w:rPr>
          <w:spacing w:val="-24"/>
        </w:rPr>
        <w:t>日</w:t>
      </w:r>
      <w:r>
        <w:rPr>
          <w:spacing w:val="-41"/>
        </w:rPr>
        <w:t xml:space="preserve"> </w:t>
      </w:r>
      <w:r>
        <w:rPr>
          <w:spacing w:val="-24"/>
        </w:rPr>
        <w:t>18</w:t>
      </w:r>
      <w:r>
        <w:rPr>
          <w:spacing w:val="-32"/>
        </w:rPr>
        <w:t xml:space="preserve"> </w:t>
      </w:r>
      <w:r>
        <w:rPr>
          <w:spacing w:val="-24"/>
        </w:rPr>
        <w:t>时。</w:t>
      </w:r>
    </w:p>
    <w:p>
      <w:pPr>
        <w:pStyle w:val="2"/>
        <w:spacing w:before="147" w:line="220" w:lineRule="auto"/>
        <w:ind w:left="20"/>
      </w:pPr>
      <w:r>
        <w:rPr>
          <w:spacing w:val="3"/>
        </w:rPr>
        <w:t>——</w:t>
      </w:r>
      <w:r>
        <w:rPr>
          <w:spacing w:val="-92"/>
        </w:rPr>
        <w:t xml:space="preserve"> </w:t>
      </w:r>
      <w:r>
        <w:rPr>
          <w:spacing w:val="3"/>
        </w:rPr>
        <w:t>申请人需于 6</w:t>
      </w:r>
      <w:r>
        <w:rPr>
          <w:spacing w:val="-46"/>
        </w:rPr>
        <w:t xml:space="preserve"> </w:t>
      </w:r>
      <w:r>
        <w:rPr>
          <w:spacing w:val="3"/>
        </w:rPr>
        <w:t>月</w:t>
      </w:r>
      <w:r>
        <w:rPr>
          <w:spacing w:val="-43"/>
        </w:rPr>
        <w:t xml:space="preserve"> </w:t>
      </w:r>
      <w:r>
        <w:rPr>
          <w:spacing w:val="3"/>
        </w:rPr>
        <w:t>7</w:t>
      </w:r>
      <w:r>
        <w:rPr>
          <w:spacing w:val="79"/>
        </w:rPr>
        <w:t xml:space="preserve"> </w:t>
      </w:r>
      <w:r>
        <w:rPr>
          <w:spacing w:val="3"/>
        </w:rPr>
        <w:t>日之前密切关注审核状态，若审核状态</w:t>
      </w:r>
    </w:p>
    <w:p>
      <w:pPr>
        <w:spacing w:line="220" w:lineRule="auto"/>
        <w:sectPr>
          <w:footerReference r:id="rId16" w:type="default"/>
          <w:pgSz w:w="11907" w:h="16840"/>
          <w:pgMar w:top="400" w:right="1438" w:bottom="1371" w:left="1593" w:header="0" w:footer="1202"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0" w:line="310" w:lineRule="auto"/>
        <w:ind w:left="23" w:right="1"/>
        <w:jc w:val="both"/>
      </w:pPr>
      <w:r>
        <w:rPr>
          <w:spacing w:val="14"/>
        </w:rPr>
        <w:t>变为</w:t>
      </w:r>
      <w:r>
        <w:rPr>
          <w:spacing w:val="-94"/>
        </w:rPr>
        <w:t xml:space="preserve"> </w:t>
      </w:r>
      <w:r>
        <w:rPr>
          <w:spacing w:val="14"/>
        </w:rPr>
        <w:t>“退回修改”，需查看审核记录，按审核记录修改意见对</w:t>
      </w:r>
      <w:r>
        <w:t xml:space="preserve"> </w:t>
      </w:r>
      <w:r>
        <w:rPr>
          <w:spacing w:val="5"/>
        </w:rPr>
        <w:t>涉及的页面内容、</w:t>
      </w:r>
      <w:r>
        <w:rPr>
          <w:spacing w:val="-54"/>
        </w:rPr>
        <w:t xml:space="preserve"> </w:t>
      </w:r>
      <w:r>
        <w:rPr>
          <w:spacing w:val="5"/>
        </w:rPr>
        <w:t>申请书、活页进行调整，并于</w:t>
      </w:r>
      <w:r>
        <w:rPr>
          <w:spacing w:val="55"/>
        </w:rPr>
        <w:t xml:space="preserve"> </w:t>
      </w:r>
      <w:r>
        <w:rPr>
          <w:spacing w:val="5"/>
        </w:rPr>
        <w:t>6</w:t>
      </w:r>
      <w:r>
        <w:rPr>
          <w:spacing w:val="-36"/>
        </w:rPr>
        <w:t xml:space="preserve"> </w:t>
      </w:r>
      <w:r>
        <w:rPr>
          <w:spacing w:val="5"/>
        </w:rPr>
        <w:t>月</w:t>
      </w:r>
      <w:r>
        <w:rPr>
          <w:spacing w:val="55"/>
        </w:rPr>
        <w:t xml:space="preserve"> </w:t>
      </w:r>
      <w:r>
        <w:rPr>
          <w:spacing w:val="5"/>
        </w:rPr>
        <w:t>7 日</w:t>
      </w:r>
      <w:r>
        <w:rPr>
          <w:spacing w:val="-29"/>
        </w:rPr>
        <w:t xml:space="preserve"> </w:t>
      </w:r>
      <w:r>
        <w:rPr>
          <w:spacing w:val="5"/>
        </w:rPr>
        <w:t>15</w:t>
      </w:r>
      <w:r>
        <w:t xml:space="preserve"> </w:t>
      </w:r>
      <w:r>
        <w:rPr>
          <w:spacing w:val="13"/>
        </w:rPr>
        <w:t>时之前重新上传申请书、活页并提交。</w:t>
      </w:r>
      <w:r>
        <w:rPr>
          <w:spacing w:val="-66"/>
        </w:rPr>
        <w:t xml:space="preserve"> </w:t>
      </w:r>
      <w:r>
        <w:rPr>
          <w:spacing w:val="13"/>
        </w:rPr>
        <w:t>审核期间不能新增申报</w:t>
      </w:r>
    </w:p>
    <w:p>
      <w:pPr>
        <w:pStyle w:val="2"/>
        <w:spacing w:line="220" w:lineRule="auto"/>
        <w:ind w:left="7"/>
      </w:pPr>
      <w:r>
        <w:t>材料。</w:t>
      </w:r>
    </w:p>
    <w:p>
      <w:pPr>
        <w:pStyle w:val="2"/>
        <w:spacing w:before="150" w:line="521" w:lineRule="exact"/>
        <w:ind w:right="2"/>
        <w:jc w:val="right"/>
      </w:pPr>
      <w:r>
        <w:rPr>
          <w:spacing w:val="12"/>
          <w:position w:val="15"/>
        </w:rPr>
        <w:t>—</w:t>
      </w:r>
      <w:r>
        <w:rPr>
          <w:spacing w:val="-105"/>
          <w:position w:val="15"/>
        </w:rPr>
        <w:t xml:space="preserve"> </w:t>
      </w:r>
      <w:r>
        <w:rPr>
          <w:spacing w:val="12"/>
          <w:position w:val="15"/>
        </w:rPr>
        <w:t>—请严格按照以上时间要求开展申请和审核工作，</w:t>
      </w:r>
      <w:r>
        <w:rPr>
          <w:spacing w:val="-84"/>
          <w:position w:val="15"/>
        </w:rPr>
        <w:t xml:space="preserve"> </w:t>
      </w:r>
      <w:r>
        <w:rPr>
          <w:spacing w:val="12"/>
          <w:position w:val="15"/>
        </w:rPr>
        <w:t>因错过受</w:t>
      </w:r>
    </w:p>
    <w:p>
      <w:pPr>
        <w:pStyle w:val="2"/>
        <w:spacing w:line="220" w:lineRule="auto"/>
        <w:ind w:left="7"/>
      </w:pPr>
      <w:r>
        <w:rPr>
          <w:spacing w:val="9"/>
        </w:rPr>
        <w:t>理时间、未按要求操作系统造成的责任由相关人员自行</w:t>
      </w:r>
      <w:r>
        <w:rPr>
          <w:spacing w:val="8"/>
        </w:rPr>
        <w:t>承担。</w:t>
      </w:r>
    </w:p>
    <w:p>
      <w:pPr>
        <w:spacing w:before="148" w:line="226" w:lineRule="auto"/>
        <w:ind w:left="20"/>
        <w:rPr>
          <w:rFonts w:ascii="黑体" w:hAnsi="黑体" w:eastAsia="黑体" w:cs="黑体"/>
          <w:sz w:val="31"/>
          <w:szCs w:val="31"/>
        </w:rPr>
      </w:pPr>
      <w:r>
        <w:rPr>
          <w:rFonts w:ascii="黑体" w:hAnsi="黑体" w:eastAsia="黑体" w:cs="黑体"/>
          <w:spacing w:val="8"/>
          <w:sz w:val="31"/>
          <w:szCs w:val="31"/>
        </w:rPr>
        <w:t>14.各级管理部门在审核申请项目时重点审核哪些内</w:t>
      </w:r>
      <w:r>
        <w:rPr>
          <w:rFonts w:ascii="黑体" w:hAnsi="黑体" w:eastAsia="黑体" w:cs="黑体"/>
          <w:spacing w:val="7"/>
          <w:sz w:val="31"/>
          <w:szCs w:val="31"/>
        </w:rPr>
        <w:t>容？</w:t>
      </w:r>
    </w:p>
    <w:p>
      <w:pPr>
        <w:pStyle w:val="2"/>
        <w:spacing w:before="137" w:line="310" w:lineRule="auto"/>
        <w:ind w:firstLine="18"/>
        <w:jc w:val="both"/>
      </w:pPr>
      <w:r>
        <w:rPr>
          <w:spacing w:val="11"/>
        </w:rPr>
        <w:t>——二级管理单位重点审核以下内容</w:t>
      </w:r>
      <w:r>
        <w:rPr>
          <w:spacing w:val="-33"/>
        </w:rPr>
        <w:t>：（</w:t>
      </w:r>
      <w:r>
        <w:rPr>
          <w:spacing w:val="11"/>
        </w:rPr>
        <w:t>1）</w:t>
      </w:r>
      <w:r>
        <w:rPr>
          <w:spacing w:val="-81"/>
        </w:rPr>
        <w:t xml:space="preserve"> </w:t>
      </w:r>
      <w:r>
        <w:rPr>
          <w:spacing w:val="11"/>
        </w:rPr>
        <w:t>申请人所</w:t>
      </w:r>
      <w:r>
        <w:rPr>
          <w:spacing w:val="10"/>
        </w:rPr>
        <w:t>在单位是</w:t>
      </w:r>
      <w:r>
        <w:t xml:space="preserve"> </w:t>
      </w:r>
      <w:r>
        <w:rPr>
          <w:spacing w:val="14"/>
        </w:rPr>
        <w:t>否是规定申报范围内的单位</w:t>
      </w:r>
      <w:r>
        <w:rPr>
          <w:spacing w:val="-27"/>
        </w:rPr>
        <w:t>；（</w:t>
      </w:r>
      <w:r>
        <w:rPr>
          <w:spacing w:val="14"/>
        </w:rPr>
        <w:t>2）填报的项目类别、学科门类</w:t>
      </w:r>
      <w:r>
        <w:rPr>
          <w:spacing w:val="1"/>
        </w:rPr>
        <w:t xml:space="preserve"> </w:t>
      </w:r>
      <w:r>
        <w:rPr>
          <w:spacing w:val="11"/>
        </w:rPr>
        <w:t>及申请书其他内容是否齐全、正确、真实</w:t>
      </w:r>
      <w:r>
        <w:rPr>
          <w:spacing w:val="-25"/>
        </w:rPr>
        <w:t>；（</w:t>
      </w:r>
      <w:r>
        <w:rPr>
          <w:spacing w:val="11"/>
        </w:rPr>
        <w:t>3）</w:t>
      </w:r>
      <w:r>
        <w:rPr>
          <w:spacing w:val="-82"/>
        </w:rPr>
        <w:t xml:space="preserve"> </w:t>
      </w:r>
      <w:r>
        <w:rPr>
          <w:spacing w:val="11"/>
        </w:rPr>
        <w:t>申请人本人是</w:t>
      </w:r>
      <w:r>
        <w:t xml:space="preserve"> </w:t>
      </w:r>
      <w:r>
        <w:rPr>
          <w:spacing w:val="14"/>
        </w:rPr>
        <w:t>否符合申报条件，包括专业技术职务是否符合规定，</w:t>
      </w:r>
      <w:r>
        <w:rPr>
          <w:spacing w:val="-69"/>
        </w:rPr>
        <w:t xml:space="preserve"> </w:t>
      </w:r>
      <w:r>
        <w:rPr>
          <w:spacing w:val="14"/>
        </w:rPr>
        <w:t>申报青年</w:t>
      </w:r>
      <w:r>
        <w:t xml:space="preserve"> </w:t>
      </w:r>
      <w:r>
        <w:rPr>
          <w:spacing w:val="26"/>
        </w:rPr>
        <w:t>项目的年龄是否超龄，</w:t>
      </w:r>
      <w:r>
        <w:rPr>
          <w:spacing w:val="-57"/>
        </w:rPr>
        <w:t xml:space="preserve"> </w:t>
      </w:r>
      <w:r>
        <w:rPr>
          <w:spacing w:val="26"/>
        </w:rPr>
        <w:t>申请人是否有在研的国家社会科学基</w:t>
      </w:r>
      <w:r>
        <w:t xml:space="preserve"> </w:t>
      </w:r>
      <w:r>
        <w:rPr>
          <w:spacing w:val="17"/>
        </w:rPr>
        <w:t>金、国家自然科学基金项目、教育部人文社科项目及全国教育</w:t>
      </w:r>
      <w:r>
        <w:rPr>
          <w:spacing w:val="7"/>
        </w:rPr>
        <w:t xml:space="preserve"> </w:t>
      </w:r>
      <w:r>
        <w:rPr>
          <w:spacing w:val="26"/>
        </w:rPr>
        <w:t>科学规划项目等</w:t>
      </w:r>
      <w:r>
        <w:rPr>
          <w:spacing w:val="-26"/>
        </w:rPr>
        <w:t>；</w:t>
      </w:r>
      <w:r>
        <w:rPr>
          <w:spacing w:val="-113"/>
        </w:rPr>
        <w:t xml:space="preserve"> </w:t>
      </w:r>
      <w:r>
        <w:rPr>
          <w:spacing w:val="-26"/>
        </w:rPr>
        <w:t>（</w:t>
      </w:r>
      <w:r>
        <w:rPr>
          <w:spacing w:val="26"/>
        </w:rPr>
        <w:t>4）</w:t>
      </w:r>
      <w:r>
        <w:rPr>
          <w:spacing w:val="-36"/>
        </w:rPr>
        <w:t xml:space="preserve"> </w:t>
      </w:r>
      <w:r>
        <w:rPr>
          <w:spacing w:val="26"/>
        </w:rPr>
        <w:t>申请人是否同时申报</w:t>
      </w:r>
      <w:r>
        <w:rPr>
          <w:spacing w:val="79"/>
        </w:rPr>
        <w:t xml:space="preserve"> </w:t>
      </w:r>
      <w:r>
        <w:rPr>
          <w:spacing w:val="26"/>
        </w:rPr>
        <w:t>2</w:t>
      </w:r>
      <w:r>
        <w:rPr>
          <w:spacing w:val="-38"/>
        </w:rPr>
        <w:t xml:space="preserve"> </w:t>
      </w:r>
      <w:r>
        <w:rPr>
          <w:spacing w:val="26"/>
        </w:rPr>
        <w:t>个及以上项</w:t>
      </w:r>
      <w:r>
        <w:t xml:space="preserve"> </w:t>
      </w:r>
      <w:r>
        <w:rPr>
          <w:spacing w:val="31"/>
        </w:rPr>
        <w:t>目</w:t>
      </w:r>
      <w:r>
        <w:rPr>
          <w:spacing w:val="-30"/>
        </w:rPr>
        <w:t>；</w:t>
      </w:r>
      <w:r>
        <w:rPr>
          <w:spacing w:val="-119"/>
        </w:rPr>
        <w:t xml:space="preserve"> </w:t>
      </w:r>
      <w:r>
        <w:rPr>
          <w:spacing w:val="-30"/>
        </w:rPr>
        <w:t>（</w:t>
      </w:r>
      <w:r>
        <w:rPr>
          <w:spacing w:val="31"/>
        </w:rPr>
        <w:t>5）</w:t>
      </w:r>
      <w:r>
        <w:rPr>
          <w:spacing w:val="-87"/>
        </w:rPr>
        <w:t xml:space="preserve"> </w:t>
      </w:r>
      <w:r>
        <w:rPr>
          <w:spacing w:val="31"/>
        </w:rPr>
        <w:t>项目组成员是否符合申报资格要求</w:t>
      </w:r>
      <w:r>
        <w:rPr>
          <w:spacing w:val="-30"/>
        </w:rPr>
        <w:t>；</w:t>
      </w:r>
      <w:r>
        <w:rPr>
          <w:spacing w:val="-121"/>
        </w:rPr>
        <w:t xml:space="preserve"> </w:t>
      </w:r>
      <w:r>
        <w:rPr>
          <w:spacing w:val="-30"/>
        </w:rPr>
        <w:t>（</w:t>
      </w:r>
      <w:r>
        <w:rPr>
          <w:spacing w:val="31"/>
        </w:rPr>
        <w:t>6）</w:t>
      </w:r>
      <w:r>
        <w:rPr>
          <w:spacing w:val="-112"/>
        </w:rPr>
        <w:t xml:space="preserve"> </w:t>
      </w:r>
      <w:r>
        <w:rPr>
          <w:spacing w:val="31"/>
        </w:rPr>
        <w:t>《申请</w:t>
      </w:r>
    </w:p>
    <w:p>
      <w:pPr>
        <w:pStyle w:val="2"/>
        <w:spacing w:line="220" w:lineRule="auto"/>
        <w:ind w:left="21"/>
      </w:pPr>
      <w:r>
        <w:rPr>
          <w:spacing w:val="8"/>
        </w:rPr>
        <w:t>书》活页是否出现申请人学校、姓名等有关信息。</w:t>
      </w:r>
    </w:p>
    <w:p>
      <w:pPr>
        <w:pStyle w:val="2"/>
        <w:spacing w:before="152" w:line="309" w:lineRule="auto"/>
        <w:ind w:left="23" w:right="2" w:hanging="5"/>
      </w:pPr>
      <w:r>
        <w:rPr>
          <w:spacing w:val="15"/>
        </w:rPr>
        <w:t>—</w:t>
      </w:r>
      <w:r>
        <w:rPr>
          <w:spacing w:val="-115"/>
        </w:rPr>
        <w:t xml:space="preserve"> </w:t>
      </w:r>
      <w:r>
        <w:rPr>
          <w:spacing w:val="15"/>
        </w:rPr>
        <w:t>—全规办完成资格终审后，对于不符合申报条件和要求的将</w:t>
      </w:r>
      <w:r>
        <w:t xml:space="preserve"> </w:t>
      </w:r>
      <w:r>
        <w:rPr>
          <w:spacing w:val="16"/>
        </w:rPr>
        <w:t>一律予以撤销；对申请人停止下一年的申报资格；对其所在申</w:t>
      </w:r>
    </w:p>
    <w:p>
      <w:pPr>
        <w:pStyle w:val="2"/>
        <w:spacing w:before="1" w:line="220" w:lineRule="auto"/>
        <w:ind w:left="13"/>
      </w:pPr>
      <w:r>
        <w:rPr>
          <w:spacing w:val="8"/>
        </w:rPr>
        <w:t>报单位，将予以批评，并酌情减少下一年度本单位申报数量。</w:t>
      </w:r>
    </w:p>
    <w:p>
      <w:pPr>
        <w:spacing w:before="150" w:line="227" w:lineRule="auto"/>
        <w:ind w:left="20"/>
        <w:rPr>
          <w:rFonts w:ascii="黑体" w:hAnsi="黑体" w:eastAsia="黑体" w:cs="黑体"/>
          <w:sz w:val="31"/>
          <w:szCs w:val="31"/>
        </w:rPr>
      </w:pPr>
      <w:r>
        <w:rPr>
          <w:rFonts w:ascii="黑体" w:hAnsi="黑体" w:eastAsia="黑体" w:cs="黑体"/>
          <w:spacing w:val="6"/>
          <w:sz w:val="31"/>
          <w:szCs w:val="31"/>
        </w:rPr>
        <w:t>15.项目申报是否要交纸质版材料？</w:t>
      </w:r>
    </w:p>
    <w:p>
      <w:pPr>
        <w:pStyle w:val="2"/>
        <w:spacing w:before="139" w:line="310" w:lineRule="auto"/>
        <w:ind w:left="3" w:firstLine="14"/>
      </w:pPr>
      <w:r>
        <w:rPr>
          <w:spacing w:val="1"/>
        </w:rPr>
        <w:t>——</w:t>
      </w:r>
      <w:r>
        <w:rPr>
          <w:spacing w:val="-74"/>
        </w:rPr>
        <w:t xml:space="preserve"> </w:t>
      </w:r>
      <w:r>
        <w:rPr>
          <w:spacing w:val="1"/>
        </w:rPr>
        <w:t>申报国家重大招标需于</w:t>
      </w:r>
      <w:r>
        <w:rPr>
          <w:spacing w:val="-46"/>
        </w:rPr>
        <w:t xml:space="preserve"> </w:t>
      </w:r>
      <w:r>
        <w:rPr>
          <w:spacing w:val="1"/>
          <w14:textOutline w14:w="5793" w14:cap="sq" w14:cmpd="sng">
            <w14:solidFill>
              <w14:srgbClr w14:val="000000"/>
            </w14:solidFill>
            <w14:prstDash w14:val="solid"/>
            <w14:bevel/>
          </w14:textOutline>
        </w:rPr>
        <w:t>6</w:t>
      </w:r>
      <w:r>
        <w:rPr>
          <w:spacing w:val="-44"/>
        </w:rPr>
        <w:t xml:space="preserve"> </w:t>
      </w:r>
      <w:r>
        <w:rPr>
          <w:spacing w:val="1"/>
          <w14:textOutline w14:w="5793" w14:cap="sq" w14:cmpd="sng">
            <w14:solidFill>
              <w14:srgbClr w14:val="000000"/>
            </w14:solidFill>
            <w14:prstDash w14:val="solid"/>
            <w14:bevel/>
          </w14:textOutline>
        </w:rPr>
        <w:t>月</w:t>
      </w:r>
      <w:r>
        <w:rPr>
          <w:spacing w:val="-38"/>
        </w:rPr>
        <w:t xml:space="preserve"> </w:t>
      </w:r>
      <w:r>
        <w:rPr>
          <w:spacing w:val="1"/>
          <w14:textOutline w14:w="5793" w14:cap="sq" w14:cmpd="sng">
            <w14:solidFill>
              <w14:srgbClr w14:val="000000"/>
            </w14:solidFill>
            <w14:prstDash w14:val="solid"/>
            <w14:bevel/>
          </w14:textOutline>
        </w:rPr>
        <w:t>19</w:t>
      </w:r>
      <w:r>
        <w:rPr>
          <w:spacing w:val="1"/>
        </w:rPr>
        <w:t xml:space="preserve"> </w:t>
      </w:r>
      <w:r>
        <w:rPr>
          <w:spacing w:val="1"/>
          <w14:textOutline w14:w="5793" w14:cap="sq" w14:cmpd="sng">
            <w14:solidFill>
              <w14:srgbClr w14:val="000000"/>
            </w14:solidFill>
            <w14:prstDash w14:val="solid"/>
            <w14:bevel/>
          </w14:textOutline>
        </w:rPr>
        <w:t>日</w:t>
      </w:r>
      <w:r>
        <w:rPr>
          <w:spacing w:val="1"/>
        </w:rPr>
        <w:t>之前给全规办报送加盖公</w:t>
      </w:r>
      <w:r>
        <w:t xml:space="preserve"> </w:t>
      </w:r>
      <w:r>
        <w:rPr>
          <w:spacing w:val="14"/>
        </w:rPr>
        <w:t>章的纸质《投标书》。</w:t>
      </w:r>
      <w:r>
        <w:rPr>
          <w:spacing w:val="14"/>
          <w14:textOutline w14:w="5793" w14:cap="sq" w14:cmpd="sng">
            <w14:solidFill>
              <w14:srgbClr w14:val="000000"/>
            </w14:solidFill>
            <w14:prstDash w14:val="solid"/>
            <w14:bevel/>
          </w14:textOutline>
        </w:rPr>
        <w:t>投标人须提交的</w:t>
      </w:r>
      <w:r>
        <w:rPr>
          <w:spacing w:val="-13"/>
        </w:rPr>
        <w:t xml:space="preserve"> </w:t>
      </w:r>
      <w:r>
        <w:rPr>
          <w:spacing w:val="14"/>
          <w14:textOutline w14:w="5793" w14:cap="sq" w14:cmpd="sng">
            <w14:solidFill>
              <w14:srgbClr w14:val="000000"/>
            </w14:solidFill>
            <w14:prstDash w14:val="solid"/>
            <w14:bevel/>
          </w14:textOutline>
        </w:rPr>
        <w:t>3</w:t>
      </w:r>
      <w:r>
        <w:rPr>
          <w:spacing w:val="-58"/>
        </w:rPr>
        <w:t xml:space="preserve"> </w:t>
      </w:r>
      <w:r>
        <w:rPr>
          <w:spacing w:val="14"/>
          <w14:textOutline w14:w="5793" w14:cap="sq" w14:cmpd="sng">
            <w14:solidFill>
              <w14:srgbClr w14:val="000000"/>
            </w14:solidFill>
            <w14:prstDash w14:val="solid"/>
            <w14:bevel/>
          </w14:textOutline>
        </w:rPr>
        <w:t>篇与申报选题研究领</w:t>
      </w:r>
      <w:r>
        <w:t xml:space="preserve"> </w:t>
      </w:r>
      <w:r>
        <w:rPr>
          <w:spacing w:val="13"/>
          <w14:textOutline w14:w="5793" w14:cap="sq" w14:cmpd="sng">
            <w14:solidFill>
              <w14:srgbClr w14:val="000000"/>
            </w14:solidFill>
            <w14:prstDash w14:val="solid"/>
            <w14:bevel/>
          </w14:textOutline>
        </w:rPr>
        <w:t>域相关的代表性成果如果是论文，可以排版在《投标书》</w:t>
      </w:r>
      <w:r>
        <w:rPr>
          <w:spacing w:val="-65"/>
        </w:rPr>
        <w:t xml:space="preserve"> </w:t>
      </w:r>
      <w:r>
        <w:rPr>
          <w:spacing w:val="13"/>
          <w14:textOutline w14:w="5793" w14:cap="sq" w14:cmpd="sng">
            <w14:solidFill>
              <w14:srgbClr w14:val="000000"/>
            </w14:solidFill>
            <w14:prstDash w14:val="solid"/>
            <w14:bevel/>
          </w14:textOutline>
        </w:rPr>
        <w:t>中；</w:t>
      </w:r>
    </w:p>
    <w:p>
      <w:pPr>
        <w:pStyle w:val="2"/>
        <w:spacing w:line="220" w:lineRule="auto"/>
        <w:ind w:left="13"/>
      </w:pPr>
      <w:r>
        <w:rPr>
          <w:spacing w:val="6"/>
          <w14:textOutline w14:w="5793" w14:cap="sq" w14:cmpd="sng">
            <w14:solidFill>
              <w14:srgbClr w14:val="000000"/>
            </w14:solidFill>
            <w14:prstDash w14:val="solid"/>
            <w14:bevel/>
          </w14:textOutline>
        </w:rPr>
        <w:t>如果是著作，需要同时寄送</w:t>
      </w:r>
      <w:r>
        <w:rPr>
          <w:spacing w:val="-35"/>
        </w:rPr>
        <w:t xml:space="preserve"> </w:t>
      </w:r>
      <w:r>
        <w:rPr>
          <w:spacing w:val="6"/>
          <w14:textOutline w14:w="5793" w14:cap="sq" w14:cmpd="sng">
            <w14:solidFill>
              <w14:srgbClr w14:val="000000"/>
            </w14:solidFill>
            <w14:prstDash w14:val="solid"/>
            <w14:bevel/>
          </w14:textOutline>
        </w:rPr>
        <w:t>5</w:t>
      </w:r>
      <w:r>
        <w:rPr>
          <w:spacing w:val="-62"/>
        </w:rPr>
        <w:t xml:space="preserve"> </w:t>
      </w:r>
      <w:r>
        <w:rPr>
          <w:spacing w:val="6"/>
          <w14:textOutline w14:w="5793" w14:cap="sq" w14:cmpd="sng">
            <w14:solidFill>
              <w14:srgbClr w14:val="000000"/>
            </w14:solidFill>
            <w14:prstDash w14:val="solid"/>
            <w14:bevel/>
          </w14:textOutline>
        </w:rPr>
        <w:t>本给我办。</w:t>
      </w:r>
    </w:p>
    <w:p>
      <w:pPr>
        <w:spacing w:line="220" w:lineRule="auto"/>
        <w:sectPr>
          <w:footerReference r:id="rId17" w:type="default"/>
          <w:pgSz w:w="11907" w:h="16840"/>
          <w:pgMar w:top="400" w:right="1474" w:bottom="1371" w:left="1595" w:header="0" w:footer="1202"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1" w:line="222" w:lineRule="auto"/>
      </w:pPr>
      <w:r>
        <w:rPr>
          <w:spacing w:val="7"/>
        </w:rPr>
        <w:t>——其他年度项目无需寄送纸质版。</w:t>
      </w:r>
    </w:p>
    <w:p>
      <w:pPr>
        <w:spacing w:line="472" w:lineRule="auto"/>
        <w:rPr>
          <w:rFonts w:ascii="Arial"/>
          <w:sz w:val="21"/>
        </w:rPr>
      </w:pPr>
    </w:p>
    <w:p>
      <w:pPr>
        <w:pStyle w:val="2"/>
        <w:spacing w:before="101" w:line="231" w:lineRule="auto"/>
        <w:ind w:left="2" w:firstLine="628"/>
      </w:pPr>
      <w:r>
        <w:rPr>
          <w:spacing w:val="14"/>
        </w:rPr>
        <w:t>平台系统及技术问题请咨询</w:t>
      </w:r>
      <w:r>
        <w:rPr>
          <w:spacing w:val="-10"/>
        </w:rPr>
        <w:t xml:space="preserve"> </w:t>
      </w:r>
      <w:r>
        <w:rPr>
          <w:spacing w:val="14"/>
        </w:rPr>
        <w:t>400-800-1636，</w:t>
      </w:r>
      <w:r>
        <w:rPr>
          <w:spacing w:val="-65"/>
        </w:rPr>
        <w:t xml:space="preserve"> </w:t>
      </w:r>
      <w:r>
        <w:rPr>
          <w:spacing w:val="14"/>
        </w:rPr>
        <w:t>电子信箱：</w:t>
      </w:r>
      <w:r>
        <w:t xml:space="preserve"> support</w:t>
      </w:r>
      <w:r>
        <w:rPr>
          <w:spacing w:val="15"/>
        </w:rPr>
        <w:t>@e-</w:t>
      </w:r>
      <w:r>
        <w:t>plugger</w:t>
      </w:r>
      <w:r>
        <w:rPr>
          <w:spacing w:val="15"/>
        </w:rPr>
        <w:t>.</w:t>
      </w:r>
      <w:r>
        <w:t>com</w:t>
      </w:r>
      <w:r>
        <w:rPr>
          <w:spacing w:val="15"/>
        </w:rPr>
        <w:t>。</w:t>
      </w:r>
    </w:p>
    <w:p>
      <w:pPr>
        <w:spacing w:line="231" w:lineRule="auto"/>
        <w:sectPr>
          <w:footerReference r:id="rId18" w:type="default"/>
          <w:pgSz w:w="11907" w:h="16840"/>
          <w:pgMar w:top="400" w:right="1566" w:bottom="1371" w:left="1613" w:header="0" w:footer="1202" w:gutter="0"/>
          <w:cols w:space="720" w:num="1"/>
        </w:sect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2"/>
        <w:spacing w:before="100" w:line="222" w:lineRule="auto"/>
        <w:ind w:left="56"/>
      </w:pPr>
      <w:r>
        <w:rPr>
          <w:spacing w:val="-10"/>
        </w:rPr>
        <w:t>附件4</w:t>
      </w:r>
    </w:p>
    <w:p>
      <w:pPr>
        <w:spacing w:line="470" w:lineRule="auto"/>
        <w:rPr>
          <w:rFonts w:ascii="Arial"/>
          <w:sz w:val="21"/>
        </w:rPr>
      </w:pPr>
    </w:p>
    <w:p>
      <w:pPr>
        <w:pStyle w:val="2"/>
        <w:spacing w:before="114" w:line="225" w:lineRule="auto"/>
        <w:ind w:left="1060"/>
        <w:rPr>
          <w:sz w:val="30"/>
          <w:szCs w:val="30"/>
        </w:rPr>
      </w:pPr>
      <w:r>
        <w:rPr>
          <w:rFonts w:ascii="宋体" w:hAnsi="宋体" w:eastAsia="宋体" w:cs="宋体"/>
          <w:spacing w:val="9"/>
          <w:sz w:val="35"/>
          <w:szCs w:val="35"/>
          <w14:textOutline w14:w="3175" w14:cap="flat" w14:cmpd="sng">
            <w14:solidFill>
              <w14:srgbClr w14:val="000000"/>
            </w14:solidFill>
            <w14:prstDash w14:val="solid"/>
            <w14:miter w14:val="0"/>
          </w14:textOutline>
        </w:rPr>
        <w:t>2024年度国家社会科学基金教育学重大项目投标材料汇</w:t>
      </w:r>
      <w:r>
        <w:rPr>
          <w:rFonts w:ascii="宋体" w:hAnsi="宋体" w:eastAsia="宋体" w:cs="宋体"/>
          <w:spacing w:val="8"/>
          <w:sz w:val="35"/>
          <w:szCs w:val="35"/>
          <w14:textOutline w14:w="3175" w14:cap="flat" w14:cmpd="sng">
            <w14:solidFill>
              <w14:srgbClr w14:val="000000"/>
            </w14:solidFill>
            <w14:prstDash w14:val="solid"/>
            <w14:miter w14:val="0"/>
          </w14:textOutline>
        </w:rPr>
        <w:t>总表</w:t>
      </w:r>
      <w:r>
        <w:rPr>
          <w:rFonts w:ascii="宋体" w:hAnsi="宋体" w:eastAsia="宋体" w:cs="宋体"/>
          <w:spacing w:val="8"/>
          <w:sz w:val="35"/>
          <w:szCs w:val="35"/>
        </w:rPr>
        <w:t xml:space="preserve">  </w:t>
      </w:r>
      <w:r>
        <w:rPr>
          <w:spacing w:val="8"/>
          <w:sz w:val="30"/>
          <w:szCs w:val="30"/>
        </w:rPr>
        <w:t>单位</w:t>
      </w:r>
      <w:r>
        <w:rPr>
          <w:spacing w:val="-22"/>
          <w:sz w:val="30"/>
          <w:szCs w:val="30"/>
        </w:rPr>
        <w:t>：（</w:t>
      </w:r>
      <w:r>
        <w:rPr>
          <w:spacing w:val="8"/>
          <w:sz w:val="30"/>
          <w:szCs w:val="30"/>
        </w:rPr>
        <w:t>公章）</w:t>
      </w:r>
    </w:p>
    <w:p>
      <w:pPr>
        <w:spacing w:before="15"/>
      </w:pPr>
    </w:p>
    <w:p>
      <w:pPr>
        <w:spacing w:before="15"/>
      </w:pPr>
    </w:p>
    <w:tbl>
      <w:tblPr>
        <w:tblStyle w:val="5"/>
        <w:tblW w:w="13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797"/>
        <w:gridCol w:w="629"/>
        <w:gridCol w:w="699"/>
        <w:gridCol w:w="742"/>
        <w:gridCol w:w="807"/>
        <w:gridCol w:w="630"/>
        <w:gridCol w:w="559"/>
        <w:gridCol w:w="699"/>
        <w:gridCol w:w="699"/>
        <w:gridCol w:w="784"/>
        <w:gridCol w:w="807"/>
        <w:gridCol w:w="713"/>
        <w:gridCol w:w="699"/>
        <w:gridCol w:w="588"/>
        <w:gridCol w:w="638"/>
        <w:gridCol w:w="808"/>
        <w:gridCol w:w="979"/>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431" w:type="dxa"/>
            <w:textDirection w:val="tbRlV"/>
            <w:vAlign w:val="top"/>
          </w:tcPr>
          <w:p>
            <w:pPr>
              <w:spacing w:before="108" w:line="218" w:lineRule="auto"/>
              <w:ind w:left="438"/>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序</w:t>
            </w:r>
            <w:r>
              <w:rPr>
                <w:rFonts w:ascii="宋体" w:hAnsi="宋体" w:eastAsia="宋体" w:cs="宋体"/>
                <w:spacing w:val="-3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号</w:t>
            </w:r>
          </w:p>
        </w:tc>
        <w:tc>
          <w:tcPr>
            <w:tcW w:w="797" w:type="dxa"/>
            <w:vAlign w:val="top"/>
          </w:tcPr>
          <w:p>
            <w:pPr>
              <w:pStyle w:val="6"/>
              <w:spacing w:line="371" w:lineRule="auto"/>
            </w:pPr>
          </w:p>
          <w:p>
            <w:pPr>
              <w:spacing w:before="65" w:line="273" w:lineRule="exact"/>
              <w:ind w:left="189"/>
              <w:rPr>
                <w:rFonts w:ascii="宋体" w:hAnsi="宋体" w:eastAsia="宋体" w:cs="宋体"/>
                <w:sz w:val="20"/>
                <w:szCs w:val="20"/>
              </w:rPr>
            </w:pPr>
            <w:r>
              <w:rPr>
                <w:rFonts w:ascii="宋体" w:hAnsi="宋体" w:eastAsia="宋体" w:cs="宋体"/>
                <w:spacing w:val="6"/>
                <w:position w:val="4"/>
                <w:sz w:val="20"/>
                <w:szCs w:val="20"/>
                <w14:textOutline w14:w="3795" w14:cap="sq" w14:cmpd="sng">
                  <w14:solidFill>
                    <w14:srgbClr w14:val="000000"/>
                  </w14:solidFill>
                  <w14:prstDash w14:val="solid"/>
                  <w14:bevel/>
                </w14:textOutline>
              </w:rPr>
              <w:t>所在</w:t>
            </w:r>
          </w:p>
          <w:p>
            <w:pPr>
              <w:spacing w:line="227" w:lineRule="auto"/>
              <w:ind w:left="193"/>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省市</w:t>
            </w:r>
          </w:p>
        </w:tc>
        <w:tc>
          <w:tcPr>
            <w:tcW w:w="629" w:type="dxa"/>
            <w:textDirection w:val="tbRlV"/>
            <w:vAlign w:val="top"/>
          </w:tcPr>
          <w:p>
            <w:pPr>
              <w:spacing w:before="209" w:line="216" w:lineRule="auto"/>
              <w:ind w:left="16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涉</w:t>
            </w:r>
            <w:r>
              <w:rPr>
                <w:rFonts w:ascii="宋体" w:hAnsi="宋体" w:eastAsia="宋体" w:cs="宋体"/>
                <w:spacing w:val="-36"/>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及</w:t>
            </w:r>
            <w:r>
              <w:rPr>
                <w:rFonts w:ascii="宋体" w:hAnsi="宋体" w:eastAsia="宋体" w:cs="宋体"/>
                <w:spacing w:val="-3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学</w:t>
            </w:r>
            <w:r>
              <w:rPr>
                <w:rFonts w:ascii="宋体" w:hAnsi="宋体" w:eastAsia="宋体" w:cs="宋体"/>
                <w:spacing w:val="-3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科</w:t>
            </w:r>
          </w:p>
        </w:tc>
        <w:tc>
          <w:tcPr>
            <w:tcW w:w="699" w:type="dxa"/>
            <w:vAlign w:val="top"/>
          </w:tcPr>
          <w:p>
            <w:pPr>
              <w:spacing w:before="304" w:line="271" w:lineRule="exact"/>
              <w:ind w:left="142"/>
              <w:rPr>
                <w:rFonts w:ascii="宋体" w:hAnsi="宋体" w:eastAsia="宋体" w:cs="宋体"/>
                <w:sz w:val="20"/>
                <w:szCs w:val="20"/>
              </w:rPr>
            </w:pPr>
            <w:r>
              <w:rPr>
                <w:rFonts w:ascii="宋体" w:hAnsi="宋体" w:eastAsia="宋体" w:cs="宋体"/>
                <w:spacing w:val="5"/>
                <w:position w:val="4"/>
                <w:sz w:val="20"/>
                <w:szCs w:val="20"/>
                <w14:textOutline w14:w="3795" w14:cap="sq" w14:cmpd="sng">
                  <w14:solidFill>
                    <w14:srgbClr w14:val="000000"/>
                  </w14:solidFill>
                  <w14:prstDash w14:val="solid"/>
                  <w14:bevel/>
                </w14:textOutline>
              </w:rPr>
              <w:t>招标</w:t>
            </w:r>
          </w:p>
          <w:p>
            <w:pPr>
              <w:spacing w:line="229" w:lineRule="auto"/>
              <w:ind w:left="14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选题</w:t>
            </w:r>
          </w:p>
          <w:p>
            <w:pPr>
              <w:spacing w:before="22" w:line="229" w:lineRule="auto"/>
              <w:ind w:left="14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742" w:type="dxa"/>
            <w:vAlign w:val="top"/>
          </w:tcPr>
          <w:p>
            <w:pPr>
              <w:pStyle w:val="6"/>
              <w:spacing w:line="371" w:lineRule="auto"/>
            </w:pPr>
          </w:p>
          <w:p>
            <w:pPr>
              <w:spacing w:before="65" w:line="273" w:lineRule="exact"/>
              <w:ind w:left="168"/>
              <w:rPr>
                <w:rFonts w:ascii="宋体" w:hAnsi="宋体" w:eastAsia="宋体" w:cs="宋体"/>
                <w:sz w:val="20"/>
                <w:szCs w:val="20"/>
              </w:rPr>
            </w:pPr>
            <w:r>
              <w:rPr>
                <w:rFonts w:ascii="宋体" w:hAnsi="宋体" w:eastAsia="宋体" w:cs="宋体"/>
                <w:spacing w:val="4"/>
                <w:position w:val="4"/>
                <w:sz w:val="20"/>
                <w:szCs w:val="20"/>
                <w14:textOutline w14:w="3795" w14:cap="sq" w14:cmpd="sng">
                  <w14:solidFill>
                    <w14:srgbClr w14:val="000000"/>
                  </w14:solidFill>
                  <w14:prstDash w14:val="solid"/>
                  <w14:bevel/>
                </w14:textOutline>
              </w:rPr>
              <w:t>项目</w:t>
            </w:r>
          </w:p>
          <w:p>
            <w:pPr>
              <w:spacing w:line="229" w:lineRule="auto"/>
              <w:ind w:left="167"/>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名称</w:t>
            </w:r>
          </w:p>
        </w:tc>
        <w:tc>
          <w:tcPr>
            <w:tcW w:w="807" w:type="dxa"/>
            <w:vAlign w:val="top"/>
          </w:tcPr>
          <w:p>
            <w:pPr>
              <w:pStyle w:val="6"/>
              <w:spacing w:line="371" w:lineRule="auto"/>
            </w:pPr>
          </w:p>
          <w:p>
            <w:pPr>
              <w:spacing w:before="65" w:line="273" w:lineRule="exact"/>
              <w:ind w:left="201"/>
              <w:rPr>
                <w:rFonts w:ascii="宋体" w:hAnsi="宋体" w:eastAsia="宋体" w:cs="宋体"/>
                <w:sz w:val="20"/>
                <w:szCs w:val="20"/>
              </w:rPr>
            </w:pPr>
            <w:r>
              <w:rPr>
                <w:rFonts w:ascii="宋体" w:hAnsi="宋体" w:eastAsia="宋体" w:cs="宋体"/>
                <w:spacing w:val="4"/>
                <w:position w:val="4"/>
                <w:sz w:val="20"/>
                <w:szCs w:val="20"/>
                <w14:textOutline w14:w="3795" w14:cap="sq" w14:cmpd="sng">
                  <w14:solidFill>
                    <w14:srgbClr w14:val="000000"/>
                  </w14:solidFill>
                  <w14:prstDash w14:val="solid"/>
                  <w14:bevel/>
                </w14:textOutline>
              </w:rPr>
              <w:t>首席</w:t>
            </w:r>
          </w:p>
          <w:p>
            <w:pPr>
              <w:spacing w:line="226" w:lineRule="auto"/>
              <w:ind w:left="198"/>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专家</w:t>
            </w:r>
          </w:p>
        </w:tc>
        <w:tc>
          <w:tcPr>
            <w:tcW w:w="630" w:type="dxa"/>
            <w:textDirection w:val="tbRlV"/>
            <w:vAlign w:val="top"/>
          </w:tcPr>
          <w:p>
            <w:pPr>
              <w:spacing w:before="209" w:line="215" w:lineRule="auto"/>
              <w:ind w:left="16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出</w:t>
            </w:r>
            <w:r>
              <w:rPr>
                <w:rFonts w:ascii="宋体" w:hAnsi="宋体" w:eastAsia="宋体" w:cs="宋体"/>
                <w:spacing w:val="-36"/>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生</w:t>
            </w:r>
            <w:r>
              <w:rPr>
                <w:rFonts w:ascii="宋体" w:hAnsi="宋体" w:eastAsia="宋体" w:cs="宋体"/>
                <w:spacing w:val="-3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日</w:t>
            </w:r>
            <w:r>
              <w:rPr>
                <w:rFonts w:ascii="宋体" w:hAnsi="宋体" w:eastAsia="宋体" w:cs="宋体"/>
                <w:spacing w:val="-3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期</w:t>
            </w:r>
          </w:p>
        </w:tc>
        <w:tc>
          <w:tcPr>
            <w:tcW w:w="559" w:type="dxa"/>
            <w:textDirection w:val="tbRlV"/>
            <w:vAlign w:val="top"/>
          </w:tcPr>
          <w:p>
            <w:pPr>
              <w:spacing w:before="173" w:line="216" w:lineRule="auto"/>
              <w:ind w:left="30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身</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份</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号</w:t>
            </w:r>
          </w:p>
        </w:tc>
        <w:tc>
          <w:tcPr>
            <w:tcW w:w="699" w:type="dxa"/>
            <w:vAlign w:val="top"/>
          </w:tcPr>
          <w:p>
            <w:pPr>
              <w:spacing w:before="168" w:line="245" w:lineRule="auto"/>
              <w:ind w:left="144" w:right="138" w:firstLine="2"/>
              <w:jc w:val="both"/>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首席</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专家</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责任</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699" w:type="dxa"/>
            <w:vAlign w:val="top"/>
          </w:tcPr>
          <w:p>
            <w:pPr>
              <w:spacing w:before="304" w:line="271" w:lineRule="exact"/>
              <w:ind w:left="146"/>
              <w:rPr>
                <w:rFonts w:ascii="宋体" w:hAnsi="宋体" w:eastAsia="宋体" w:cs="宋体"/>
                <w:sz w:val="20"/>
                <w:szCs w:val="20"/>
              </w:rPr>
            </w:pPr>
            <w:r>
              <w:rPr>
                <w:rFonts w:ascii="宋体" w:hAnsi="宋体" w:eastAsia="宋体" w:cs="宋体"/>
                <w:spacing w:val="4"/>
                <w:position w:val="4"/>
                <w:sz w:val="20"/>
                <w:szCs w:val="20"/>
                <w14:textOutline w14:w="3795" w14:cap="sq" w14:cmpd="sng">
                  <w14:solidFill>
                    <w14:srgbClr w14:val="000000"/>
                  </w14:solidFill>
                  <w14:prstDash w14:val="solid"/>
                  <w14:bevel/>
                </w14:textOutline>
              </w:rPr>
              <w:t>首席</w:t>
            </w:r>
          </w:p>
          <w:p>
            <w:pPr>
              <w:spacing w:line="226" w:lineRule="auto"/>
              <w:ind w:left="143"/>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专家</w:t>
            </w:r>
          </w:p>
          <w:p>
            <w:pPr>
              <w:spacing w:before="25" w:line="228" w:lineRule="auto"/>
              <w:ind w:left="143"/>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职务</w:t>
            </w:r>
          </w:p>
        </w:tc>
        <w:tc>
          <w:tcPr>
            <w:tcW w:w="784" w:type="dxa"/>
            <w:vAlign w:val="top"/>
          </w:tcPr>
          <w:p>
            <w:pPr>
              <w:spacing w:before="167" w:line="271" w:lineRule="exact"/>
              <w:ind w:left="188"/>
              <w:rPr>
                <w:rFonts w:ascii="宋体" w:hAnsi="宋体" w:eastAsia="宋体" w:cs="宋体"/>
                <w:sz w:val="20"/>
                <w:szCs w:val="20"/>
              </w:rPr>
            </w:pPr>
            <w:r>
              <w:rPr>
                <w:rFonts w:ascii="宋体" w:hAnsi="宋体" w:eastAsia="宋体" w:cs="宋体"/>
                <w:spacing w:val="4"/>
                <w:position w:val="4"/>
                <w:sz w:val="20"/>
                <w:szCs w:val="20"/>
                <w14:textOutline w14:w="3795" w14:cap="sq" w14:cmpd="sng">
                  <w14:solidFill>
                    <w14:srgbClr w14:val="000000"/>
                  </w14:solidFill>
                  <w14:prstDash w14:val="solid"/>
                  <w14:bevel/>
                </w14:textOutline>
              </w:rPr>
              <w:t>首席</w:t>
            </w:r>
          </w:p>
          <w:p>
            <w:pPr>
              <w:spacing w:line="226" w:lineRule="auto"/>
              <w:ind w:left="18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专家</w:t>
            </w:r>
          </w:p>
          <w:p>
            <w:pPr>
              <w:spacing w:before="28" w:line="227" w:lineRule="auto"/>
              <w:ind w:left="18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研究</w:t>
            </w:r>
          </w:p>
          <w:p>
            <w:pPr>
              <w:spacing w:before="25" w:line="229" w:lineRule="auto"/>
              <w:ind w:left="18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方向</w:t>
            </w:r>
          </w:p>
        </w:tc>
        <w:tc>
          <w:tcPr>
            <w:tcW w:w="807" w:type="dxa"/>
            <w:vAlign w:val="top"/>
          </w:tcPr>
          <w:p>
            <w:pPr>
              <w:spacing w:before="167" w:line="229" w:lineRule="auto"/>
              <w:ind w:left="198"/>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计划</w:t>
            </w:r>
          </w:p>
          <w:p>
            <w:pPr>
              <w:spacing w:before="22" w:line="228" w:lineRule="auto"/>
              <w:ind w:left="305"/>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完</w:t>
            </w:r>
          </w:p>
          <w:p>
            <w:pPr>
              <w:spacing w:before="27" w:line="229" w:lineRule="auto"/>
              <w:ind w:left="200"/>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成时</w:t>
            </w:r>
          </w:p>
          <w:p>
            <w:pPr>
              <w:spacing w:before="22" w:line="231" w:lineRule="auto"/>
              <w:ind w:left="320"/>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间</w:t>
            </w:r>
          </w:p>
        </w:tc>
        <w:tc>
          <w:tcPr>
            <w:tcW w:w="713" w:type="dxa"/>
            <w:vAlign w:val="top"/>
          </w:tcPr>
          <w:p>
            <w:pPr>
              <w:spacing w:before="304" w:line="271" w:lineRule="exact"/>
              <w:ind w:left="151"/>
              <w:rPr>
                <w:rFonts w:ascii="宋体" w:hAnsi="宋体" w:eastAsia="宋体" w:cs="宋体"/>
                <w:sz w:val="20"/>
                <w:szCs w:val="20"/>
              </w:rPr>
            </w:pPr>
            <w:r>
              <w:rPr>
                <w:rFonts w:ascii="宋体" w:hAnsi="宋体" w:eastAsia="宋体" w:cs="宋体"/>
                <w:spacing w:val="5"/>
                <w:position w:val="4"/>
                <w:sz w:val="20"/>
                <w:szCs w:val="20"/>
                <w14:textOutline w14:w="3795" w14:cap="sq" w14:cmpd="sng">
                  <w14:solidFill>
                    <w14:srgbClr w14:val="000000"/>
                  </w14:solidFill>
                  <w14:prstDash w14:val="solid"/>
                  <w14:bevel/>
                </w14:textOutline>
              </w:rPr>
              <w:t>预期</w:t>
            </w:r>
          </w:p>
          <w:p>
            <w:pPr>
              <w:spacing w:line="228" w:lineRule="auto"/>
              <w:ind w:left="15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成果</w:t>
            </w:r>
          </w:p>
          <w:p>
            <w:pPr>
              <w:spacing w:before="23" w:line="227" w:lineRule="auto"/>
              <w:ind w:left="152"/>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形式</w:t>
            </w:r>
          </w:p>
        </w:tc>
        <w:tc>
          <w:tcPr>
            <w:tcW w:w="699" w:type="dxa"/>
            <w:vAlign w:val="top"/>
          </w:tcPr>
          <w:p>
            <w:pPr>
              <w:pStyle w:val="6"/>
              <w:spacing w:line="371" w:lineRule="auto"/>
            </w:pPr>
          </w:p>
          <w:p>
            <w:pPr>
              <w:spacing w:before="65" w:line="241" w:lineRule="auto"/>
              <w:ind w:left="168" w:right="137" w:hanging="2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办公</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电话</w:t>
            </w:r>
          </w:p>
        </w:tc>
        <w:tc>
          <w:tcPr>
            <w:tcW w:w="588" w:type="dxa"/>
            <w:textDirection w:val="tbRlV"/>
            <w:vAlign w:val="top"/>
          </w:tcPr>
          <w:p>
            <w:pPr>
              <w:spacing w:before="187" w:line="217" w:lineRule="auto"/>
              <w:ind w:left="16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家</w:t>
            </w:r>
            <w:r>
              <w:rPr>
                <w:rFonts w:ascii="宋体" w:hAnsi="宋体" w:eastAsia="宋体" w:cs="宋体"/>
                <w:spacing w:val="-36"/>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庭</w:t>
            </w:r>
            <w:r>
              <w:rPr>
                <w:rFonts w:ascii="宋体" w:hAnsi="宋体" w:eastAsia="宋体" w:cs="宋体"/>
                <w:spacing w:val="-3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电</w:t>
            </w:r>
            <w:r>
              <w:rPr>
                <w:rFonts w:ascii="宋体" w:hAnsi="宋体" w:eastAsia="宋体" w:cs="宋体"/>
                <w:spacing w:val="-3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话</w:t>
            </w:r>
          </w:p>
        </w:tc>
        <w:tc>
          <w:tcPr>
            <w:tcW w:w="638" w:type="dxa"/>
            <w:vAlign w:val="top"/>
          </w:tcPr>
          <w:p>
            <w:pPr>
              <w:pStyle w:val="6"/>
              <w:spacing w:line="253" w:lineRule="auto"/>
            </w:pPr>
          </w:p>
          <w:p>
            <w:pPr>
              <w:pStyle w:val="6"/>
              <w:spacing w:line="254" w:lineRule="auto"/>
            </w:pPr>
          </w:p>
          <w:p>
            <w:pPr>
              <w:spacing w:before="65" w:line="227" w:lineRule="auto"/>
              <w:ind w:left="112"/>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手机</w:t>
            </w:r>
          </w:p>
        </w:tc>
        <w:tc>
          <w:tcPr>
            <w:tcW w:w="808" w:type="dxa"/>
            <w:vAlign w:val="top"/>
          </w:tcPr>
          <w:p>
            <w:pPr>
              <w:pStyle w:val="6"/>
              <w:spacing w:line="371" w:lineRule="auto"/>
            </w:pPr>
          </w:p>
          <w:p>
            <w:pPr>
              <w:spacing w:before="65" w:line="273" w:lineRule="exact"/>
              <w:ind w:left="224"/>
              <w:rPr>
                <w:rFonts w:ascii="宋体" w:hAnsi="宋体" w:eastAsia="宋体" w:cs="宋体"/>
                <w:sz w:val="20"/>
                <w:szCs w:val="20"/>
              </w:rPr>
            </w:pPr>
            <w:r>
              <w:rPr>
                <w:rFonts w:ascii="宋体" w:hAnsi="宋体" w:eastAsia="宋体" w:cs="宋体"/>
                <w:spacing w:val="-7"/>
                <w:position w:val="4"/>
                <w:sz w:val="20"/>
                <w:szCs w:val="20"/>
                <w14:textOutline w14:w="3795" w14:cap="sq" w14:cmpd="sng">
                  <w14:solidFill>
                    <w14:srgbClr w14:val="000000"/>
                  </w14:solidFill>
                  <w14:prstDash w14:val="solid"/>
                  <w14:bevel/>
                </w14:textOutline>
              </w:rPr>
              <w:t>电子</w:t>
            </w:r>
          </w:p>
          <w:p>
            <w:pPr>
              <w:spacing w:line="228" w:lineRule="auto"/>
              <w:ind w:left="215"/>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邮箱</w:t>
            </w:r>
          </w:p>
        </w:tc>
        <w:tc>
          <w:tcPr>
            <w:tcW w:w="979" w:type="dxa"/>
            <w:vAlign w:val="top"/>
          </w:tcPr>
          <w:p>
            <w:pPr>
              <w:spacing w:before="165" w:line="244" w:lineRule="auto"/>
              <w:ind w:left="181" w:right="169"/>
              <w:jc w:val="both"/>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子课题</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负责人</w:t>
            </w:r>
            <w:r>
              <w:rPr>
                <w:rFonts w:ascii="宋体" w:hAnsi="宋体" w:eastAsia="宋体" w:cs="宋体"/>
                <w:spacing w:val="1"/>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姓名、</w:t>
            </w:r>
          </w:p>
          <w:p>
            <w:pPr>
              <w:spacing w:before="24" w:line="228" w:lineRule="auto"/>
              <w:ind w:left="288"/>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1216" w:type="dxa"/>
            <w:vAlign w:val="top"/>
          </w:tcPr>
          <w:p>
            <w:pPr>
              <w:spacing w:before="167" w:line="228" w:lineRule="auto"/>
              <w:ind w:left="19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建议回避</w:t>
            </w:r>
          </w:p>
          <w:p>
            <w:pPr>
              <w:spacing w:before="24" w:line="226" w:lineRule="auto"/>
              <w:ind w:left="19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评审专家</w:t>
            </w:r>
          </w:p>
          <w:p>
            <w:pPr>
              <w:spacing w:before="28" w:line="228" w:lineRule="auto"/>
              <w:ind w:left="19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姓名、单</w:t>
            </w:r>
          </w:p>
          <w:p>
            <w:pPr>
              <w:spacing w:before="24" w:line="229" w:lineRule="auto"/>
              <w:ind w:left="507"/>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31" w:type="dxa"/>
            <w:vAlign w:val="top"/>
          </w:tcPr>
          <w:p>
            <w:pPr>
              <w:spacing w:before="87" w:line="184" w:lineRule="auto"/>
              <w:ind w:left="188"/>
              <w:rPr>
                <w:rFonts w:ascii="宋体" w:hAnsi="宋体" w:eastAsia="宋体" w:cs="宋体"/>
                <w:sz w:val="18"/>
                <w:szCs w:val="18"/>
              </w:rPr>
            </w:pPr>
            <w:r>
              <w:rPr>
                <w:rFonts w:ascii="宋体" w:hAnsi="宋体" w:eastAsia="宋体" w:cs="宋体"/>
                <w:sz w:val="18"/>
                <w:szCs w:val="18"/>
              </w:rPr>
              <w:t>1</w:t>
            </w:r>
          </w:p>
        </w:tc>
        <w:tc>
          <w:tcPr>
            <w:tcW w:w="797" w:type="dxa"/>
            <w:vAlign w:val="top"/>
          </w:tcPr>
          <w:p>
            <w:pPr>
              <w:spacing w:before="60" w:line="219" w:lineRule="auto"/>
              <w:ind w:left="130"/>
              <w:rPr>
                <w:rFonts w:ascii="宋体" w:hAnsi="宋体" w:eastAsia="宋体" w:cs="宋体"/>
                <w:sz w:val="18"/>
                <w:szCs w:val="18"/>
              </w:rPr>
            </w:pPr>
            <w:r>
              <w:rPr>
                <w:rFonts w:ascii="宋体" w:hAnsi="宋体" w:eastAsia="宋体" w:cs="宋体"/>
                <w:spacing w:val="-3"/>
                <w:sz w:val="18"/>
                <w:szCs w:val="18"/>
              </w:rPr>
              <w:t>河南省</w:t>
            </w:r>
          </w:p>
        </w:tc>
        <w:tc>
          <w:tcPr>
            <w:tcW w:w="629" w:type="dxa"/>
            <w:vAlign w:val="top"/>
          </w:tcPr>
          <w:p>
            <w:pPr>
              <w:pStyle w:val="6"/>
            </w:pPr>
          </w:p>
        </w:tc>
        <w:tc>
          <w:tcPr>
            <w:tcW w:w="699" w:type="dxa"/>
            <w:vAlign w:val="top"/>
          </w:tcPr>
          <w:p>
            <w:pPr>
              <w:pStyle w:val="6"/>
            </w:pPr>
          </w:p>
        </w:tc>
        <w:tc>
          <w:tcPr>
            <w:tcW w:w="742" w:type="dxa"/>
            <w:vAlign w:val="top"/>
          </w:tcPr>
          <w:p>
            <w:pPr>
              <w:pStyle w:val="6"/>
            </w:pPr>
          </w:p>
        </w:tc>
        <w:tc>
          <w:tcPr>
            <w:tcW w:w="807" w:type="dxa"/>
            <w:vAlign w:val="top"/>
          </w:tcPr>
          <w:p>
            <w:pPr>
              <w:pStyle w:val="6"/>
            </w:pPr>
          </w:p>
        </w:tc>
        <w:tc>
          <w:tcPr>
            <w:tcW w:w="630" w:type="dxa"/>
            <w:vAlign w:val="top"/>
          </w:tcPr>
          <w:p>
            <w:pPr>
              <w:pStyle w:val="6"/>
            </w:pPr>
          </w:p>
        </w:tc>
        <w:tc>
          <w:tcPr>
            <w:tcW w:w="559" w:type="dxa"/>
            <w:vAlign w:val="top"/>
          </w:tcPr>
          <w:p>
            <w:pPr>
              <w:pStyle w:val="6"/>
            </w:pPr>
          </w:p>
        </w:tc>
        <w:tc>
          <w:tcPr>
            <w:tcW w:w="699" w:type="dxa"/>
            <w:vAlign w:val="top"/>
          </w:tcPr>
          <w:p>
            <w:pPr>
              <w:pStyle w:val="6"/>
            </w:pPr>
          </w:p>
        </w:tc>
        <w:tc>
          <w:tcPr>
            <w:tcW w:w="699" w:type="dxa"/>
            <w:vAlign w:val="top"/>
          </w:tcPr>
          <w:p>
            <w:pPr>
              <w:pStyle w:val="6"/>
            </w:pPr>
          </w:p>
        </w:tc>
        <w:tc>
          <w:tcPr>
            <w:tcW w:w="784" w:type="dxa"/>
            <w:vAlign w:val="top"/>
          </w:tcPr>
          <w:p>
            <w:pPr>
              <w:pStyle w:val="6"/>
            </w:pPr>
          </w:p>
        </w:tc>
        <w:tc>
          <w:tcPr>
            <w:tcW w:w="807" w:type="dxa"/>
            <w:vAlign w:val="top"/>
          </w:tcPr>
          <w:p>
            <w:pPr>
              <w:pStyle w:val="6"/>
            </w:pPr>
          </w:p>
        </w:tc>
        <w:tc>
          <w:tcPr>
            <w:tcW w:w="713" w:type="dxa"/>
            <w:vAlign w:val="top"/>
          </w:tcPr>
          <w:p>
            <w:pPr>
              <w:pStyle w:val="6"/>
            </w:pPr>
          </w:p>
        </w:tc>
        <w:tc>
          <w:tcPr>
            <w:tcW w:w="699" w:type="dxa"/>
            <w:vAlign w:val="top"/>
          </w:tcPr>
          <w:p>
            <w:pPr>
              <w:pStyle w:val="6"/>
            </w:pPr>
          </w:p>
        </w:tc>
        <w:tc>
          <w:tcPr>
            <w:tcW w:w="588" w:type="dxa"/>
            <w:vAlign w:val="top"/>
          </w:tcPr>
          <w:p>
            <w:pPr>
              <w:pStyle w:val="6"/>
            </w:pPr>
          </w:p>
        </w:tc>
        <w:tc>
          <w:tcPr>
            <w:tcW w:w="638" w:type="dxa"/>
            <w:vAlign w:val="top"/>
          </w:tcPr>
          <w:p>
            <w:pPr>
              <w:pStyle w:val="6"/>
            </w:pPr>
          </w:p>
        </w:tc>
        <w:tc>
          <w:tcPr>
            <w:tcW w:w="808" w:type="dxa"/>
            <w:vAlign w:val="top"/>
          </w:tcPr>
          <w:p>
            <w:pPr>
              <w:pStyle w:val="6"/>
            </w:pPr>
          </w:p>
        </w:tc>
        <w:tc>
          <w:tcPr>
            <w:tcW w:w="979" w:type="dxa"/>
            <w:vAlign w:val="top"/>
          </w:tcPr>
          <w:p>
            <w:pPr>
              <w:pStyle w:val="6"/>
            </w:pPr>
          </w:p>
        </w:tc>
        <w:tc>
          <w:tcPr>
            <w:tcW w:w="121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431" w:type="dxa"/>
            <w:vAlign w:val="top"/>
          </w:tcPr>
          <w:p>
            <w:pPr>
              <w:spacing w:before="90" w:line="183" w:lineRule="auto"/>
              <w:ind w:left="177"/>
              <w:rPr>
                <w:rFonts w:ascii="宋体" w:hAnsi="宋体" w:eastAsia="宋体" w:cs="宋体"/>
                <w:sz w:val="18"/>
                <w:szCs w:val="18"/>
              </w:rPr>
            </w:pPr>
            <w:r>
              <w:rPr>
                <w:rFonts w:ascii="宋体" w:hAnsi="宋体" w:eastAsia="宋体" w:cs="宋体"/>
                <w:sz w:val="18"/>
                <w:szCs w:val="18"/>
              </w:rPr>
              <w:t>2</w:t>
            </w:r>
          </w:p>
        </w:tc>
        <w:tc>
          <w:tcPr>
            <w:tcW w:w="797" w:type="dxa"/>
            <w:vAlign w:val="top"/>
          </w:tcPr>
          <w:p>
            <w:pPr>
              <w:spacing w:before="62" w:line="219" w:lineRule="auto"/>
              <w:ind w:left="130"/>
              <w:rPr>
                <w:rFonts w:ascii="宋体" w:hAnsi="宋体" w:eastAsia="宋体" w:cs="宋体"/>
                <w:sz w:val="18"/>
                <w:szCs w:val="18"/>
              </w:rPr>
            </w:pPr>
            <w:r>
              <w:rPr>
                <w:rFonts w:ascii="宋体" w:hAnsi="宋体" w:eastAsia="宋体" w:cs="宋体"/>
                <w:spacing w:val="-3"/>
                <w:sz w:val="18"/>
                <w:szCs w:val="18"/>
              </w:rPr>
              <w:t>河南省</w:t>
            </w:r>
          </w:p>
        </w:tc>
        <w:tc>
          <w:tcPr>
            <w:tcW w:w="629" w:type="dxa"/>
            <w:vAlign w:val="top"/>
          </w:tcPr>
          <w:p>
            <w:pPr>
              <w:pStyle w:val="6"/>
            </w:pPr>
          </w:p>
        </w:tc>
        <w:tc>
          <w:tcPr>
            <w:tcW w:w="699" w:type="dxa"/>
            <w:vAlign w:val="top"/>
          </w:tcPr>
          <w:p>
            <w:pPr>
              <w:pStyle w:val="6"/>
            </w:pPr>
          </w:p>
        </w:tc>
        <w:tc>
          <w:tcPr>
            <w:tcW w:w="742" w:type="dxa"/>
            <w:vAlign w:val="top"/>
          </w:tcPr>
          <w:p>
            <w:pPr>
              <w:pStyle w:val="6"/>
            </w:pPr>
          </w:p>
        </w:tc>
        <w:tc>
          <w:tcPr>
            <w:tcW w:w="807" w:type="dxa"/>
            <w:vAlign w:val="top"/>
          </w:tcPr>
          <w:p>
            <w:pPr>
              <w:pStyle w:val="6"/>
            </w:pPr>
          </w:p>
        </w:tc>
        <w:tc>
          <w:tcPr>
            <w:tcW w:w="630" w:type="dxa"/>
            <w:vAlign w:val="top"/>
          </w:tcPr>
          <w:p>
            <w:pPr>
              <w:pStyle w:val="6"/>
            </w:pPr>
          </w:p>
        </w:tc>
        <w:tc>
          <w:tcPr>
            <w:tcW w:w="559" w:type="dxa"/>
            <w:vAlign w:val="top"/>
          </w:tcPr>
          <w:p>
            <w:pPr>
              <w:pStyle w:val="6"/>
            </w:pPr>
          </w:p>
        </w:tc>
        <w:tc>
          <w:tcPr>
            <w:tcW w:w="699" w:type="dxa"/>
            <w:vAlign w:val="top"/>
          </w:tcPr>
          <w:p>
            <w:pPr>
              <w:pStyle w:val="6"/>
            </w:pPr>
          </w:p>
        </w:tc>
        <w:tc>
          <w:tcPr>
            <w:tcW w:w="699" w:type="dxa"/>
            <w:vAlign w:val="top"/>
          </w:tcPr>
          <w:p>
            <w:pPr>
              <w:pStyle w:val="6"/>
            </w:pPr>
          </w:p>
        </w:tc>
        <w:tc>
          <w:tcPr>
            <w:tcW w:w="784" w:type="dxa"/>
            <w:vAlign w:val="top"/>
          </w:tcPr>
          <w:p>
            <w:pPr>
              <w:pStyle w:val="6"/>
            </w:pPr>
          </w:p>
        </w:tc>
        <w:tc>
          <w:tcPr>
            <w:tcW w:w="807" w:type="dxa"/>
            <w:vAlign w:val="top"/>
          </w:tcPr>
          <w:p>
            <w:pPr>
              <w:pStyle w:val="6"/>
            </w:pPr>
          </w:p>
        </w:tc>
        <w:tc>
          <w:tcPr>
            <w:tcW w:w="713" w:type="dxa"/>
            <w:vAlign w:val="top"/>
          </w:tcPr>
          <w:p>
            <w:pPr>
              <w:pStyle w:val="6"/>
            </w:pPr>
          </w:p>
        </w:tc>
        <w:tc>
          <w:tcPr>
            <w:tcW w:w="699" w:type="dxa"/>
            <w:vAlign w:val="top"/>
          </w:tcPr>
          <w:p>
            <w:pPr>
              <w:pStyle w:val="6"/>
            </w:pPr>
          </w:p>
        </w:tc>
        <w:tc>
          <w:tcPr>
            <w:tcW w:w="588" w:type="dxa"/>
            <w:vAlign w:val="top"/>
          </w:tcPr>
          <w:p>
            <w:pPr>
              <w:pStyle w:val="6"/>
            </w:pPr>
          </w:p>
        </w:tc>
        <w:tc>
          <w:tcPr>
            <w:tcW w:w="638" w:type="dxa"/>
            <w:vAlign w:val="top"/>
          </w:tcPr>
          <w:p>
            <w:pPr>
              <w:pStyle w:val="6"/>
            </w:pPr>
          </w:p>
        </w:tc>
        <w:tc>
          <w:tcPr>
            <w:tcW w:w="808" w:type="dxa"/>
            <w:vAlign w:val="top"/>
          </w:tcPr>
          <w:p>
            <w:pPr>
              <w:pStyle w:val="6"/>
            </w:pPr>
          </w:p>
        </w:tc>
        <w:tc>
          <w:tcPr>
            <w:tcW w:w="979" w:type="dxa"/>
            <w:vAlign w:val="top"/>
          </w:tcPr>
          <w:p>
            <w:pPr>
              <w:pStyle w:val="6"/>
            </w:pPr>
          </w:p>
        </w:tc>
        <w:tc>
          <w:tcPr>
            <w:tcW w:w="121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31" w:type="dxa"/>
            <w:vAlign w:val="top"/>
          </w:tcPr>
          <w:p>
            <w:pPr>
              <w:spacing w:before="89" w:line="183" w:lineRule="auto"/>
              <w:ind w:left="179"/>
              <w:rPr>
                <w:rFonts w:ascii="宋体" w:hAnsi="宋体" w:eastAsia="宋体" w:cs="宋体"/>
                <w:sz w:val="18"/>
                <w:szCs w:val="18"/>
              </w:rPr>
            </w:pPr>
            <w:r>
              <w:rPr>
                <w:rFonts w:ascii="宋体" w:hAnsi="宋体" w:eastAsia="宋体" w:cs="宋体"/>
                <w:sz w:val="18"/>
                <w:szCs w:val="18"/>
              </w:rPr>
              <w:t>3</w:t>
            </w:r>
          </w:p>
        </w:tc>
        <w:tc>
          <w:tcPr>
            <w:tcW w:w="797" w:type="dxa"/>
            <w:vAlign w:val="top"/>
          </w:tcPr>
          <w:p>
            <w:pPr>
              <w:spacing w:before="61" w:line="219" w:lineRule="auto"/>
              <w:ind w:left="130"/>
              <w:rPr>
                <w:rFonts w:ascii="宋体" w:hAnsi="宋体" w:eastAsia="宋体" w:cs="宋体"/>
                <w:sz w:val="18"/>
                <w:szCs w:val="18"/>
              </w:rPr>
            </w:pPr>
            <w:r>
              <w:rPr>
                <w:rFonts w:ascii="宋体" w:hAnsi="宋体" w:eastAsia="宋体" w:cs="宋体"/>
                <w:spacing w:val="-3"/>
                <w:sz w:val="18"/>
                <w:szCs w:val="18"/>
              </w:rPr>
              <w:t>河南省</w:t>
            </w:r>
          </w:p>
        </w:tc>
        <w:tc>
          <w:tcPr>
            <w:tcW w:w="629" w:type="dxa"/>
            <w:vAlign w:val="top"/>
          </w:tcPr>
          <w:p>
            <w:pPr>
              <w:pStyle w:val="6"/>
            </w:pPr>
          </w:p>
        </w:tc>
        <w:tc>
          <w:tcPr>
            <w:tcW w:w="699" w:type="dxa"/>
            <w:vAlign w:val="top"/>
          </w:tcPr>
          <w:p>
            <w:pPr>
              <w:pStyle w:val="6"/>
            </w:pPr>
          </w:p>
        </w:tc>
        <w:tc>
          <w:tcPr>
            <w:tcW w:w="742" w:type="dxa"/>
            <w:vAlign w:val="top"/>
          </w:tcPr>
          <w:p>
            <w:pPr>
              <w:pStyle w:val="6"/>
            </w:pPr>
          </w:p>
        </w:tc>
        <w:tc>
          <w:tcPr>
            <w:tcW w:w="807" w:type="dxa"/>
            <w:vAlign w:val="top"/>
          </w:tcPr>
          <w:p>
            <w:pPr>
              <w:pStyle w:val="6"/>
            </w:pPr>
          </w:p>
        </w:tc>
        <w:tc>
          <w:tcPr>
            <w:tcW w:w="630" w:type="dxa"/>
            <w:vAlign w:val="top"/>
          </w:tcPr>
          <w:p>
            <w:pPr>
              <w:pStyle w:val="6"/>
            </w:pPr>
          </w:p>
        </w:tc>
        <w:tc>
          <w:tcPr>
            <w:tcW w:w="559" w:type="dxa"/>
            <w:vAlign w:val="top"/>
          </w:tcPr>
          <w:p>
            <w:pPr>
              <w:pStyle w:val="6"/>
            </w:pPr>
          </w:p>
        </w:tc>
        <w:tc>
          <w:tcPr>
            <w:tcW w:w="699" w:type="dxa"/>
            <w:vAlign w:val="top"/>
          </w:tcPr>
          <w:p>
            <w:pPr>
              <w:pStyle w:val="6"/>
            </w:pPr>
          </w:p>
        </w:tc>
        <w:tc>
          <w:tcPr>
            <w:tcW w:w="699" w:type="dxa"/>
            <w:vAlign w:val="top"/>
          </w:tcPr>
          <w:p>
            <w:pPr>
              <w:pStyle w:val="6"/>
            </w:pPr>
          </w:p>
        </w:tc>
        <w:tc>
          <w:tcPr>
            <w:tcW w:w="784" w:type="dxa"/>
            <w:vAlign w:val="top"/>
          </w:tcPr>
          <w:p>
            <w:pPr>
              <w:pStyle w:val="6"/>
            </w:pPr>
          </w:p>
        </w:tc>
        <w:tc>
          <w:tcPr>
            <w:tcW w:w="807" w:type="dxa"/>
            <w:vAlign w:val="top"/>
          </w:tcPr>
          <w:p>
            <w:pPr>
              <w:pStyle w:val="6"/>
            </w:pPr>
          </w:p>
        </w:tc>
        <w:tc>
          <w:tcPr>
            <w:tcW w:w="713" w:type="dxa"/>
            <w:vAlign w:val="top"/>
          </w:tcPr>
          <w:p>
            <w:pPr>
              <w:pStyle w:val="6"/>
            </w:pPr>
          </w:p>
        </w:tc>
        <w:tc>
          <w:tcPr>
            <w:tcW w:w="699" w:type="dxa"/>
            <w:vAlign w:val="top"/>
          </w:tcPr>
          <w:p>
            <w:pPr>
              <w:pStyle w:val="6"/>
            </w:pPr>
          </w:p>
        </w:tc>
        <w:tc>
          <w:tcPr>
            <w:tcW w:w="588" w:type="dxa"/>
            <w:vAlign w:val="top"/>
          </w:tcPr>
          <w:p>
            <w:pPr>
              <w:pStyle w:val="6"/>
            </w:pPr>
          </w:p>
        </w:tc>
        <w:tc>
          <w:tcPr>
            <w:tcW w:w="638" w:type="dxa"/>
            <w:vAlign w:val="top"/>
          </w:tcPr>
          <w:p>
            <w:pPr>
              <w:pStyle w:val="6"/>
            </w:pPr>
          </w:p>
        </w:tc>
        <w:tc>
          <w:tcPr>
            <w:tcW w:w="808" w:type="dxa"/>
            <w:vAlign w:val="top"/>
          </w:tcPr>
          <w:p>
            <w:pPr>
              <w:pStyle w:val="6"/>
            </w:pPr>
          </w:p>
        </w:tc>
        <w:tc>
          <w:tcPr>
            <w:tcW w:w="979" w:type="dxa"/>
            <w:vAlign w:val="top"/>
          </w:tcPr>
          <w:p>
            <w:pPr>
              <w:pStyle w:val="6"/>
            </w:pPr>
          </w:p>
        </w:tc>
        <w:tc>
          <w:tcPr>
            <w:tcW w:w="121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431" w:type="dxa"/>
            <w:vAlign w:val="top"/>
          </w:tcPr>
          <w:p>
            <w:pPr>
              <w:spacing w:before="91" w:line="183" w:lineRule="auto"/>
              <w:ind w:left="174"/>
              <w:rPr>
                <w:rFonts w:ascii="宋体" w:hAnsi="宋体" w:eastAsia="宋体" w:cs="宋体"/>
                <w:sz w:val="18"/>
                <w:szCs w:val="18"/>
              </w:rPr>
            </w:pPr>
            <w:r>
              <w:rPr>
                <w:rFonts w:ascii="宋体" w:hAnsi="宋体" w:eastAsia="宋体" w:cs="宋体"/>
                <w:sz w:val="18"/>
                <w:szCs w:val="18"/>
              </w:rPr>
              <w:t>4</w:t>
            </w:r>
          </w:p>
        </w:tc>
        <w:tc>
          <w:tcPr>
            <w:tcW w:w="797" w:type="dxa"/>
            <w:vAlign w:val="top"/>
          </w:tcPr>
          <w:p>
            <w:pPr>
              <w:spacing w:before="63" w:line="219" w:lineRule="auto"/>
              <w:ind w:left="130"/>
              <w:rPr>
                <w:rFonts w:ascii="宋体" w:hAnsi="宋体" w:eastAsia="宋体" w:cs="宋体"/>
                <w:sz w:val="18"/>
                <w:szCs w:val="18"/>
              </w:rPr>
            </w:pPr>
            <w:r>
              <w:rPr>
                <w:rFonts w:ascii="宋体" w:hAnsi="宋体" w:eastAsia="宋体" w:cs="宋体"/>
                <w:spacing w:val="-3"/>
                <w:sz w:val="18"/>
                <w:szCs w:val="18"/>
              </w:rPr>
              <w:t>河南省</w:t>
            </w:r>
          </w:p>
        </w:tc>
        <w:tc>
          <w:tcPr>
            <w:tcW w:w="629" w:type="dxa"/>
            <w:vAlign w:val="top"/>
          </w:tcPr>
          <w:p>
            <w:pPr>
              <w:pStyle w:val="6"/>
            </w:pPr>
          </w:p>
        </w:tc>
        <w:tc>
          <w:tcPr>
            <w:tcW w:w="699" w:type="dxa"/>
            <w:vAlign w:val="top"/>
          </w:tcPr>
          <w:p>
            <w:pPr>
              <w:pStyle w:val="6"/>
            </w:pPr>
          </w:p>
        </w:tc>
        <w:tc>
          <w:tcPr>
            <w:tcW w:w="742" w:type="dxa"/>
            <w:vAlign w:val="top"/>
          </w:tcPr>
          <w:p>
            <w:pPr>
              <w:pStyle w:val="6"/>
            </w:pPr>
          </w:p>
        </w:tc>
        <w:tc>
          <w:tcPr>
            <w:tcW w:w="807" w:type="dxa"/>
            <w:vAlign w:val="top"/>
          </w:tcPr>
          <w:p>
            <w:pPr>
              <w:pStyle w:val="6"/>
            </w:pPr>
          </w:p>
        </w:tc>
        <w:tc>
          <w:tcPr>
            <w:tcW w:w="630" w:type="dxa"/>
            <w:vAlign w:val="top"/>
          </w:tcPr>
          <w:p>
            <w:pPr>
              <w:pStyle w:val="6"/>
            </w:pPr>
          </w:p>
        </w:tc>
        <w:tc>
          <w:tcPr>
            <w:tcW w:w="559" w:type="dxa"/>
            <w:vAlign w:val="top"/>
          </w:tcPr>
          <w:p>
            <w:pPr>
              <w:pStyle w:val="6"/>
            </w:pPr>
          </w:p>
        </w:tc>
        <w:tc>
          <w:tcPr>
            <w:tcW w:w="699" w:type="dxa"/>
            <w:vAlign w:val="top"/>
          </w:tcPr>
          <w:p>
            <w:pPr>
              <w:pStyle w:val="6"/>
            </w:pPr>
          </w:p>
        </w:tc>
        <w:tc>
          <w:tcPr>
            <w:tcW w:w="699" w:type="dxa"/>
            <w:vAlign w:val="top"/>
          </w:tcPr>
          <w:p>
            <w:pPr>
              <w:pStyle w:val="6"/>
            </w:pPr>
          </w:p>
        </w:tc>
        <w:tc>
          <w:tcPr>
            <w:tcW w:w="784" w:type="dxa"/>
            <w:vAlign w:val="top"/>
          </w:tcPr>
          <w:p>
            <w:pPr>
              <w:pStyle w:val="6"/>
            </w:pPr>
          </w:p>
        </w:tc>
        <w:tc>
          <w:tcPr>
            <w:tcW w:w="807" w:type="dxa"/>
            <w:vAlign w:val="top"/>
          </w:tcPr>
          <w:p>
            <w:pPr>
              <w:pStyle w:val="6"/>
            </w:pPr>
          </w:p>
        </w:tc>
        <w:tc>
          <w:tcPr>
            <w:tcW w:w="713" w:type="dxa"/>
            <w:vAlign w:val="top"/>
          </w:tcPr>
          <w:p>
            <w:pPr>
              <w:pStyle w:val="6"/>
            </w:pPr>
          </w:p>
        </w:tc>
        <w:tc>
          <w:tcPr>
            <w:tcW w:w="699" w:type="dxa"/>
            <w:vAlign w:val="top"/>
          </w:tcPr>
          <w:p>
            <w:pPr>
              <w:pStyle w:val="6"/>
            </w:pPr>
          </w:p>
        </w:tc>
        <w:tc>
          <w:tcPr>
            <w:tcW w:w="588" w:type="dxa"/>
            <w:vAlign w:val="top"/>
          </w:tcPr>
          <w:p>
            <w:pPr>
              <w:pStyle w:val="6"/>
            </w:pPr>
          </w:p>
        </w:tc>
        <w:tc>
          <w:tcPr>
            <w:tcW w:w="638" w:type="dxa"/>
            <w:vAlign w:val="top"/>
          </w:tcPr>
          <w:p>
            <w:pPr>
              <w:pStyle w:val="6"/>
            </w:pPr>
          </w:p>
        </w:tc>
        <w:tc>
          <w:tcPr>
            <w:tcW w:w="808" w:type="dxa"/>
            <w:vAlign w:val="top"/>
          </w:tcPr>
          <w:p>
            <w:pPr>
              <w:pStyle w:val="6"/>
            </w:pPr>
          </w:p>
        </w:tc>
        <w:tc>
          <w:tcPr>
            <w:tcW w:w="979" w:type="dxa"/>
            <w:vAlign w:val="top"/>
          </w:tcPr>
          <w:p>
            <w:pPr>
              <w:pStyle w:val="6"/>
            </w:pPr>
          </w:p>
        </w:tc>
        <w:tc>
          <w:tcPr>
            <w:tcW w:w="121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31" w:type="dxa"/>
            <w:vAlign w:val="top"/>
          </w:tcPr>
          <w:p>
            <w:pPr>
              <w:spacing w:before="100" w:line="182" w:lineRule="auto"/>
              <w:ind w:left="179"/>
              <w:rPr>
                <w:rFonts w:ascii="宋体" w:hAnsi="宋体" w:eastAsia="宋体" w:cs="宋体"/>
                <w:sz w:val="18"/>
                <w:szCs w:val="18"/>
              </w:rPr>
            </w:pPr>
            <w:r>
              <w:rPr>
                <w:rFonts w:ascii="宋体" w:hAnsi="宋体" w:eastAsia="宋体" w:cs="宋体"/>
                <w:sz w:val="18"/>
                <w:szCs w:val="18"/>
              </w:rPr>
              <w:t>5</w:t>
            </w:r>
          </w:p>
        </w:tc>
        <w:tc>
          <w:tcPr>
            <w:tcW w:w="797" w:type="dxa"/>
            <w:vAlign w:val="top"/>
          </w:tcPr>
          <w:p>
            <w:pPr>
              <w:spacing w:before="71" w:line="219" w:lineRule="auto"/>
              <w:ind w:left="130"/>
              <w:rPr>
                <w:rFonts w:ascii="宋体" w:hAnsi="宋体" w:eastAsia="宋体" w:cs="宋体"/>
                <w:sz w:val="18"/>
                <w:szCs w:val="18"/>
              </w:rPr>
            </w:pPr>
            <w:r>
              <w:rPr>
                <w:rFonts w:ascii="宋体" w:hAnsi="宋体" w:eastAsia="宋体" w:cs="宋体"/>
                <w:spacing w:val="-3"/>
                <w:sz w:val="18"/>
                <w:szCs w:val="18"/>
              </w:rPr>
              <w:t>河南省</w:t>
            </w:r>
          </w:p>
        </w:tc>
        <w:tc>
          <w:tcPr>
            <w:tcW w:w="629" w:type="dxa"/>
            <w:vAlign w:val="top"/>
          </w:tcPr>
          <w:p>
            <w:pPr>
              <w:pStyle w:val="6"/>
            </w:pPr>
          </w:p>
        </w:tc>
        <w:tc>
          <w:tcPr>
            <w:tcW w:w="699" w:type="dxa"/>
            <w:vAlign w:val="top"/>
          </w:tcPr>
          <w:p>
            <w:pPr>
              <w:pStyle w:val="6"/>
            </w:pPr>
          </w:p>
        </w:tc>
        <w:tc>
          <w:tcPr>
            <w:tcW w:w="742" w:type="dxa"/>
            <w:vAlign w:val="top"/>
          </w:tcPr>
          <w:p>
            <w:pPr>
              <w:pStyle w:val="6"/>
            </w:pPr>
          </w:p>
        </w:tc>
        <w:tc>
          <w:tcPr>
            <w:tcW w:w="807" w:type="dxa"/>
            <w:vAlign w:val="top"/>
          </w:tcPr>
          <w:p>
            <w:pPr>
              <w:pStyle w:val="6"/>
            </w:pPr>
          </w:p>
        </w:tc>
        <w:tc>
          <w:tcPr>
            <w:tcW w:w="630" w:type="dxa"/>
            <w:vAlign w:val="top"/>
          </w:tcPr>
          <w:p>
            <w:pPr>
              <w:pStyle w:val="6"/>
            </w:pPr>
          </w:p>
        </w:tc>
        <w:tc>
          <w:tcPr>
            <w:tcW w:w="559" w:type="dxa"/>
            <w:vAlign w:val="top"/>
          </w:tcPr>
          <w:p>
            <w:pPr>
              <w:pStyle w:val="6"/>
            </w:pPr>
          </w:p>
        </w:tc>
        <w:tc>
          <w:tcPr>
            <w:tcW w:w="699" w:type="dxa"/>
            <w:vAlign w:val="top"/>
          </w:tcPr>
          <w:p>
            <w:pPr>
              <w:pStyle w:val="6"/>
            </w:pPr>
          </w:p>
        </w:tc>
        <w:tc>
          <w:tcPr>
            <w:tcW w:w="699" w:type="dxa"/>
            <w:vAlign w:val="top"/>
          </w:tcPr>
          <w:p>
            <w:pPr>
              <w:pStyle w:val="6"/>
            </w:pPr>
          </w:p>
        </w:tc>
        <w:tc>
          <w:tcPr>
            <w:tcW w:w="784" w:type="dxa"/>
            <w:vAlign w:val="top"/>
          </w:tcPr>
          <w:p>
            <w:pPr>
              <w:pStyle w:val="6"/>
            </w:pPr>
          </w:p>
        </w:tc>
        <w:tc>
          <w:tcPr>
            <w:tcW w:w="807" w:type="dxa"/>
            <w:vAlign w:val="top"/>
          </w:tcPr>
          <w:p>
            <w:pPr>
              <w:pStyle w:val="6"/>
            </w:pPr>
          </w:p>
        </w:tc>
        <w:tc>
          <w:tcPr>
            <w:tcW w:w="713" w:type="dxa"/>
            <w:vAlign w:val="top"/>
          </w:tcPr>
          <w:p>
            <w:pPr>
              <w:pStyle w:val="6"/>
            </w:pPr>
          </w:p>
        </w:tc>
        <w:tc>
          <w:tcPr>
            <w:tcW w:w="699" w:type="dxa"/>
            <w:vAlign w:val="top"/>
          </w:tcPr>
          <w:p>
            <w:pPr>
              <w:pStyle w:val="6"/>
            </w:pPr>
          </w:p>
        </w:tc>
        <w:tc>
          <w:tcPr>
            <w:tcW w:w="588" w:type="dxa"/>
            <w:vAlign w:val="top"/>
          </w:tcPr>
          <w:p>
            <w:pPr>
              <w:pStyle w:val="6"/>
            </w:pPr>
          </w:p>
        </w:tc>
        <w:tc>
          <w:tcPr>
            <w:tcW w:w="638" w:type="dxa"/>
            <w:vAlign w:val="top"/>
          </w:tcPr>
          <w:p>
            <w:pPr>
              <w:pStyle w:val="6"/>
            </w:pPr>
          </w:p>
        </w:tc>
        <w:tc>
          <w:tcPr>
            <w:tcW w:w="808" w:type="dxa"/>
            <w:vAlign w:val="top"/>
          </w:tcPr>
          <w:p>
            <w:pPr>
              <w:pStyle w:val="6"/>
            </w:pPr>
          </w:p>
        </w:tc>
        <w:tc>
          <w:tcPr>
            <w:tcW w:w="979" w:type="dxa"/>
            <w:vAlign w:val="top"/>
          </w:tcPr>
          <w:p>
            <w:pPr>
              <w:pStyle w:val="6"/>
            </w:pPr>
          </w:p>
        </w:tc>
        <w:tc>
          <w:tcPr>
            <w:tcW w:w="1216" w:type="dxa"/>
            <w:vAlign w:val="top"/>
          </w:tcPr>
          <w:p>
            <w:pPr>
              <w:pStyle w:val="6"/>
            </w:pPr>
          </w:p>
        </w:tc>
      </w:tr>
    </w:tbl>
    <w:p>
      <w:pPr>
        <w:rPr>
          <w:rFonts w:ascii="Arial"/>
          <w:sz w:val="21"/>
        </w:rPr>
      </w:pPr>
    </w:p>
    <w:sectPr>
      <w:footerReference r:id="rId19" w:type="default"/>
      <w:pgSz w:w="16840" w:h="11907"/>
      <w:pgMar w:top="400" w:right="1470" w:bottom="1371" w:left="1439" w:header="0" w:footer="12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47"/>
      <w:rPr>
        <w:rFonts w:ascii="Arial" w:hAnsi="Arial" w:eastAsia="Arial" w:cs="Arial"/>
        <w:sz w:val="18"/>
        <w:szCs w:val="18"/>
      </w:rPr>
    </w:pPr>
    <w:r>
      <w:rPr>
        <w:rFonts w:ascii="Arial" w:hAnsi="Arial" w:eastAsia="Arial" w:cs="Arial"/>
        <w:sz w:val="18"/>
        <w:szCs w:val="18"/>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8"/>
      <w:rPr>
        <w:rFonts w:ascii="Arial" w:hAnsi="Arial" w:eastAsia="Arial" w:cs="Arial"/>
        <w:sz w:val="18"/>
        <w:szCs w:val="18"/>
      </w:rPr>
    </w:pPr>
    <w:r>
      <w:rPr>
        <w:rFonts w:ascii="Arial" w:hAnsi="Arial" w:eastAsia="Arial" w:cs="Arial"/>
        <w:spacing w:val="-10"/>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4"/>
      <w:rPr>
        <w:rFonts w:ascii="Arial" w:hAnsi="Arial" w:eastAsia="Arial" w:cs="Arial"/>
        <w:sz w:val="18"/>
        <w:szCs w:val="18"/>
      </w:rPr>
    </w:pPr>
    <w:r>
      <w:rPr>
        <w:rFonts w:ascii="Arial" w:hAnsi="Arial" w:eastAsia="Arial" w:cs="Arial"/>
        <w:spacing w:val="-10"/>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3"/>
      <w:rPr>
        <w:rFonts w:ascii="Arial" w:hAnsi="Arial" w:eastAsia="Arial" w:cs="Arial"/>
        <w:sz w:val="18"/>
        <w:szCs w:val="18"/>
      </w:rPr>
    </w:pPr>
    <w:r>
      <w:rPr>
        <w:rFonts w:ascii="Arial" w:hAnsi="Arial" w:eastAsia="Arial" w:cs="Arial"/>
        <w:spacing w:val="-10"/>
        <w:sz w:val="18"/>
        <w:szCs w:val="18"/>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14"/>
      <w:rPr>
        <w:rFonts w:ascii="Arial" w:hAnsi="Arial" w:eastAsia="Arial" w:cs="Arial"/>
        <w:sz w:val="18"/>
        <w:szCs w:val="18"/>
      </w:rPr>
    </w:pPr>
    <w:r>
      <w:rPr>
        <w:rFonts w:ascii="Arial" w:hAnsi="Arial" w:eastAsia="Arial" w:cs="Arial"/>
        <w:spacing w:val="-10"/>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898"/>
      <w:rPr>
        <w:rFonts w:ascii="Arial" w:hAnsi="Arial" w:eastAsia="Arial" w:cs="Arial"/>
        <w:sz w:val="18"/>
        <w:szCs w:val="18"/>
      </w:rPr>
    </w:pPr>
    <w:r>
      <w:rPr>
        <w:rFonts w:ascii="Arial" w:hAnsi="Arial" w:eastAsia="Arial" w:cs="Arial"/>
        <w:spacing w:val="-3"/>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73"/>
      <w:rPr>
        <w:rFonts w:ascii="Arial" w:hAnsi="Arial" w:eastAsia="Arial" w:cs="Arial"/>
        <w:sz w:val="18"/>
        <w:szCs w:val="18"/>
      </w:rPr>
    </w:pPr>
    <w:r>
      <w:rPr>
        <w:rFonts w:ascii="Arial" w:hAnsi="Arial" w:eastAsia="Arial" w:cs="Arial"/>
        <w:sz w:val="18"/>
        <w:szCs w:val="18"/>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34"/>
      <w:rPr>
        <w:rFonts w:ascii="Arial" w:hAnsi="Arial" w:eastAsia="Arial" w:cs="Arial"/>
        <w:sz w:val="18"/>
        <w:szCs w:val="18"/>
      </w:rPr>
    </w:pPr>
    <w:r>
      <w:rPr>
        <w:rFonts w:ascii="Arial" w:hAnsi="Arial" w:eastAsia="Arial" w:cs="Arial"/>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5"/>
      <w:rPr>
        <w:rFonts w:ascii="Arial" w:hAnsi="Arial" w:eastAsia="Arial" w:cs="Arial"/>
        <w:sz w:val="18"/>
        <w:szCs w:val="18"/>
      </w:rPr>
    </w:pPr>
    <w:r>
      <w:rPr>
        <w:rFonts w:ascii="Arial" w:hAnsi="Arial" w:eastAsia="Arial" w:cs="Arial"/>
        <w:spacing w:val="-10"/>
        <w:sz w:val="18"/>
        <w:szCs w:val="18"/>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5"/>
      <w:rPr>
        <w:rFonts w:ascii="Arial" w:hAnsi="Arial" w:eastAsia="Arial" w:cs="Arial"/>
        <w:sz w:val="18"/>
        <w:szCs w:val="18"/>
      </w:rPr>
    </w:pPr>
    <w:r>
      <w:rPr>
        <w:rFonts w:ascii="Arial" w:hAnsi="Arial" w:eastAsia="Arial" w:cs="Arial"/>
        <w:spacing w:val="-10"/>
        <w:sz w:val="18"/>
        <w:szCs w:val="18"/>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2"/>
      <w:rPr>
        <w:rFonts w:ascii="Arial" w:hAnsi="Arial" w:eastAsia="Arial" w:cs="Arial"/>
        <w:sz w:val="18"/>
        <w:szCs w:val="18"/>
      </w:rPr>
    </w:pPr>
    <w:r>
      <w:rPr>
        <w:rFonts w:ascii="Arial" w:hAnsi="Arial" w:eastAsia="Arial" w:cs="Arial"/>
        <w:spacing w:val="-10"/>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13"/>
      <w:rPr>
        <w:rFonts w:ascii="Arial" w:hAnsi="Arial" w:eastAsia="Arial" w:cs="Arial"/>
        <w:sz w:val="18"/>
        <w:szCs w:val="18"/>
      </w:rPr>
    </w:pPr>
    <w:r>
      <w:rPr>
        <w:rFonts w:ascii="Arial" w:hAnsi="Arial" w:eastAsia="Arial" w:cs="Arial"/>
        <w:spacing w:val="-10"/>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2"/>
      <w:rPr>
        <w:rFonts w:ascii="Arial" w:hAnsi="Arial" w:eastAsia="Arial" w:cs="Arial"/>
        <w:sz w:val="18"/>
        <w:szCs w:val="18"/>
      </w:rPr>
    </w:pPr>
    <w:r>
      <w:rPr>
        <w:rFonts w:ascii="Arial" w:hAnsi="Arial" w:eastAsia="Arial" w:cs="Arial"/>
        <w:spacing w:val="-10"/>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8"/>
      <w:rPr>
        <w:rFonts w:ascii="Arial" w:hAnsi="Arial" w:eastAsia="Arial" w:cs="Arial"/>
        <w:sz w:val="18"/>
        <w:szCs w:val="18"/>
      </w:rPr>
    </w:pPr>
    <w:r>
      <w:rPr>
        <w:rFonts w:ascii="Arial" w:hAnsi="Arial" w:eastAsia="Arial" w:cs="Arial"/>
        <w:spacing w:val="-10"/>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EzMjU0YmE4M2Q0ZmExYmQ1YWU4M2UyOGFiNmZjNzEifQ=="/>
  </w:docVars>
  <w:rsids>
    <w:rsidRoot w:val="00000000"/>
    <w:rsid w:val="418D0907"/>
    <w:rsid w:val="5C2F2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TotalTime>11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2024-05-07T17:55:00Z</dcterms:created>
  <dc:creator>Administrator</dc:creator>
  <cp:lastModifiedBy>王永国</cp:lastModifiedBy>
  <dcterms:modified xsi:type="dcterms:W3CDTF">2024-05-08T08:42:09Z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2024-05-08T16:05:25Z</vt:filetime>
  </property>
  <property fmtid="{D5CDD505-2E9C-101B-9397-08002B2CF9AE}" pid="4" name="KSOProductBuildVer">
    <vt:lpwstr>2052-12.1.0.16729</vt:lpwstr>
  </property>
  <property fmtid="{D5CDD505-2E9C-101B-9397-08002B2CF9AE}" pid="5" name="ICV">
    <vt:lpwstr>B390E12B91DE4CEA8A70F4BE19D2FD9E_12</vt:lpwstr>
  </property>
</Properties>
</file>