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7B9C77">
      <w:pPr>
        <w:spacing w:line="247" w:lineRule="auto"/>
        <w:rPr>
          <w:rFonts w:ascii="Arial"/>
          <w:sz w:val="21"/>
        </w:rPr>
      </w:pPr>
    </w:p>
    <w:p w14:paraId="6417D2B5">
      <w:pPr>
        <w:spacing w:line="247" w:lineRule="auto"/>
        <w:rPr>
          <w:rFonts w:ascii="Arial"/>
          <w:sz w:val="21"/>
        </w:rPr>
      </w:pPr>
    </w:p>
    <w:p w14:paraId="3A1B7BFA">
      <w:pPr>
        <w:spacing w:line="247" w:lineRule="auto"/>
        <w:rPr>
          <w:rFonts w:ascii="Arial"/>
          <w:sz w:val="21"/>
        </w:rPr>
      </w:pPr>
    </w:p>
    <w:p w14:paraId="034BA791">
      <w:pPr>
        <w:spacing w:line="248" w:lineRule="auto"/>
        <w:rPr>
          <w:rFonts w:ascii="Arial"/>
          <w:sz w:val="21"/>
        </w:rPr>
      </w:pPr>
    </w:p>
    <w:p w14:paraId="0E83422E">
      <w:pPr>
        <w:spacing w:before="100" w:line="230" w:lineRule="auto"/>
        <w:ind w:left="287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59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4"/>
          <w:sz w:val="31"/>
          <w:szCs w:val="31"/>
        </w:rPr>
        <w:t>3</w:t>
      </w:r>
    </w:p>
    <w:p w14:paraId="2922A13F">
      <w:pPr>
        <w:spacing w:before="127" w:line="219" w:lineRule="auto"/>
        <w:ind w:left="2934"/>
        <w:outlineLvl w:val="0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8"/>
          <w:sz w:val="43"/>
          <w:szCs w:val="43"/>
        </w:rPr>
        <w:t>2025 年河南省教育综合改革项目汇总表</w:t>
      </w:r>
    </w:p>
    <w:tbl>
      <w:tblPr>
        <w:tblStyle w:val="5"/>
        <w:tblW w:w="1343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1"/>
        <w:gridCol w:w="2799"/>
        <w:gridCol w:w="3260"/>
        <w:gridCol w:w="3258"/>
        <w:gridCol w:w="2839"/>
      </w:tblGrid>
      <w:tr w14:paraId="23B65E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1281" w:type="dxa"/>
            <w:vAlign w:val="top"/>
          </w:tcPr>
          <w:p w14:paraId="47F13CD3">
            <w:pPr>
              <w:spacing w:before="285" w:line="224" w:lineRule="auto"/>
              <w:ind w:left="369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5"/>
                <w:sz w:val="28"/>
                <w:szCs w:val="28"/>
              </w:rPr>
              <w:t>序号</w:t>
            </w:r>
          </w:p>
        </w:tc>
        <w:tc>
          <w:tcPr>
            <w:tcW w:w="2799" w:type="dxa"/>
            <w:vAlign w:val="top"/>
          </w:tcPr>
          <w:p w14:paraId="378FE3E7">
            <w:pPr>
              <w:spacing w:before="286" w:line="222" w:lineRule="auto"/>
              <w:ind w:left="848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2"/>
                <w:sz w:val="28"/>
                <w:szCs w:val="28"/>
              </w:rPr>
              <w:t>项目名称</w:t>
            </w:r>
          </w:p>
        </w:tc>
        <w:tc>
          <w:tcPr>
            <w:tcW w:w="3260" w:type="dxa"/>
            <w:vAlign w:val="top"/>
          </w:tcPr>
          <w:p w14:paraId="34DFE7BF">
            <w:pPr>
              <w:spacing w:before="286" w:line="222" w:lineRule="auto"/>
              <w:ind w:left="804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改革主要内容</w:t>
            </w:r>
          </w:p>
        </w:tc>
        <w:tc>
          <w:tcPr>
            <w:tcW w:w="3258" w:type="dxa"/>
            <w:vAlign w:val="top"/>
          </w:tcPr>
          <w:p w14:paraId="6A88A72E">
            <w:pPr>
              <w:spacing w:before="285" w:line="222" w:lineRule="auto"/>
              <w:ind w:left="1079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2"/>
                <w:sz w:val="28"/>
                <w:szCs w:val="28"/>
              </w:rPr>
              <w:t>完成标志</w:t>
            </w:r>
          </w:p>
        </w:tc>
        <w:tc>
          <w:tcPr>
            <w:tcW w:w="2839" w:type="dxa"/>
            <w:vAlign w:val="top"/>
          </w:tcPr>
          <w:p w14:paraId="3BEBAE28">
            <w:pPr>
              <w:spacing w:before="286" w:line="222" w:lineRule="auto"/>
              <w:ind w:left="312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2"/>
                <w:sz w:val="28"/>
                <w:szCs w:val="28"/>
              </w:rPr>
              <w:t>预计成果形成时间</w:t>
            </w:r>
          </w:p>
        </w:tc>
      </w:tr>
      <w:tr w14:paraId="3C5AA7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  <w:jc w:val="center"/>
        </w:trPr>
        <w:tc>
          <w:tcPr>
            <w:tcW w:w="1281" w:type="dxa"/>
            <w:vAlign w:val="top"/>
          </w:tcPr>
          <w:p w14:paraId="1D4F0867">
            <w:pPr>
              <w:spacing w:before="281" w:line="373" w:lineRule="exact"/>
              <w:ind w:left="596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position w:val="1"/>
                <w:sz w:val="28"/>
                <w:szCs w:val="28"/>
              </w:rPr>
              <w:t>1</w:t>
            </w:r>
          </w:p>
        </w:tc>
        <w:tc>
          <w:tcPr>
            <w:tcW w:w="2799" w:type="dxa"/>
            <w:vAlign w:val="top"/>
          </w:tcPr>
          <w:p w14:paraId="744F566B">
            <w:pPr>
              <w:pStyle w:val="6"/>
            </w:pPr>
          </w:p>
        </w:tc>
        <w:tc>
          <w:tcPr>
            <w:tcW w:w="3260" w:type="dxa"/>
            <w:vAlign w:val="top"/>
          </w:tcPr>
          <w:p w14:paraId="33B7929A">
            <w:pPr>
              <w:pStyle w:val="6"/>
            </w:pPr>
          </w:p>
        </w:tc>
        <w:tc>
          <w:tcPr>
            <w:tcW w:w="3258" w:type="dxa"/>
            <w:vAlign w:val="top"/>
          </w:tcPr>
          <w:p w14:paraId="7924FF38">
            <w:pPr>
              <w:pStyle w:val="6"/>
            </w:pPr>
          </w:p>
        </w:tc>
        <w:tc>
          <w:tcPr>
            <w:tcW w:w="2839" w:type="dxa"/>
            <w:vAlign w:val="top"/>
          </w:tcPr>
          <w:p w14:paraId="6F8F541E">
            <w:pPr>
              <w:pStyle w:val="6"/>
            </w:pPr>
          </w:p>
        </w:tc>
      </w:tr>
      <w:tr w14:paraId="0C9C98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1" w:hRule="atLeast"/>
          <w:jc w:val="center"/>
        </w:trPr>
        <w:tc>
          <w:tcPr>
            <w:tcW w:w="1281" w:type="dxa"/>
            <w:vAlign w:val="top"/>
          </w:tcPr>
          <w:p w14:paraId="3E310687">
            <w:pPr>
              <w:spacing w:before="326" w:line="374" w:lineRule="exact"/>
              <w:ind w:left="589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position w:val="1"/>
                <w:sz w:val="28"/>
                <w:szCs w:val="28"/>
              </w:rPr>
              <w:t>2</w:t>
            </w:r>
          </w:p>
        </w:tc>
        <w:tc>
          <w:tcPr>
            <w:tcW w:w="2799" w:type="dxa"/>
            <w:vAlign w:val="top"/>
          </w:tcPr>
          <w:p w14:paraId="5533F318">
            <w:pPr>
              <w:pStyle w:val="6"/>
            </w:pPr>
          </w:p>
        </w:tc>
        <w:tc>
          <w:tcPr>
            <w:tcW w:w="3260" w:type="dxa"/>
            <w:vAlign w:val="top"/>
          </w:tcPr>
          <w:p w14:paraId="6E12D8A7">
            <w:pPr>
              <w:pStyle w:val="6"/>
            </w:pPr>
          </w:p>
        </w:tc>
        <w:tc>
          <w:tcPr>
            <w:tcW w:w="3258" w:type="dxa"/>
            <w:vAlign w:val="top"/>
          </w:tcPr>
          <w:p w14:paraId="4AD5380F">
            <w:pPr>
              <w:pStyle w:val="6"/>
            </w:pPr>
          </w:p>
        </w:tc>
        <w:tc>
          <w:tcPr>
            <w:tcW w:w="2839" w:type="dxa"/>
            <w:vAlign w:val="top"/>
          </w:tcPr>
          <w:p w14:paraId="30A1062D">
            <w:pPr>
              <w:pStyle w:val="6"/>
            </w:pPr>
          </w:p>
        </w:tc>
      </w:tr>
      <w:tr w14:paraId="67ED71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  <w:jc w:val="center"/>
        </w:trPr>
        <w:tc>
          <w:tcPr>
            <w:tcW w:w="1281" w:type="dxa"/>
            <w:vAlign w:val="top"/>
          </w:tcPr>
          <w:p w14:paraId="39107BC7">
            <w:pPr>
              <w:spacing w:before="326" w:line="369" w:lineRule="exact"/>
              <w:ind w:left="600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position w:val="1"/>
                <w:sz w:val="28"/>
                <w:szCs w:val="28"/>
              </w:rPr>
              <w:t>3</w:t>
            </w:r>
          </w:p>
        </w:tc>
        <w:tc>
          <w:tcPr>
            <w:tcW w:w="2799" w:type="dxa"/>
            <w:vAlign w:val="top"/>
          </w:tcPr>
          <w:p w14:paraId="12E0F460">
            <w:pPr>
              <w:pStyle w:val="6"/>
            </w:pPr>
          </w:p>
        </w:tc>
        <w:tc>
          <w:tcPr>
            <w:tcW w:w="3260" w:type="dxa"/>
            <w:vAlign w:val="top"/>
          </w:tcPr>
          <w:p w14:paraId="1840937C">
            <w:pPr>
              <w:pStyle w:val="6"/>
            </w:pPr>
          </w:p>
        </w:tc>
        <w:tc>
          <w:tcPr>
            <w:tcW w:w="3258" w:type="dxa"/>
            <w:vAlign w:val="top"/>
          </w:tcPr>
          <w:p w14:paraId="41FA1490">
            <w:pPr>
              <w:pStyle w:val="6"/>
            </w:pPr>
          </w:p>
        </w:tc>
        <w:tc>
          <w:tcPr>
            <w:tcW w:w="2839" w:type="dxa"/>
            <w:vAlign w:val="top"/>
          </w:tcPr>
          <w:p w14:paraId="03015F3F">
            <w:pPr>
              <w:pStyle w:val="6"/>
            </w:pPr>
          </w:p>
        </w:tc>
      </w:tr>
    </w:tbl>
    <w:p w14:paraId="780FFF49">
      <w:pPr>
        <w:spacing w:line="385" w:lineRule="auto"/>
        <w:rPr>
          <w:rFonts w:ascii="Arial"/>
          <w:sz w:val="21"/>
        </w:rPr>
      </w:pPr>
    </w:p>
    <w:p w14:paraId="5A91D536">
      <w:pPr>
        <w:spacing w:before="91" w:line="215" w:lineRule="auto"/>
        <w:ind w:left="551"/>
        <w:rPr>
          <w:rFonts w:ascii="KaiTi_GB2312" w:hAnsi="KaiTi_GB2312" w:eastAsia="KaiTi_GB2312" w:cs="KaiTi_GB2312"/>
          <w:sz w:val="28"/>
          <w:szCs w:val="28"/>
        </w:rPr>
      </w:pPr>
      <w:r>
        <w:rPr>
          <w:rFonts w:ascii="KaiTi_GB2312" w:hAnsi="KaiTi_GB2312" w:eastAsia="KaiTi_GB2312" w:cs="KaiTi_GB2312"/>
          <w:spacing w:val="1"/>
          <w:sz w:val="28"/>
          <w:szCs w:val="28"/>
        </w:rPr>
        <w:t>填表单位</w:t>
      </w:r>
      <w:r>
        <w:rPr>
          <w:rFonts w:ascii="KaiTi_GB2312" w:hAnsi="KaiTi_GB2312" w:eastAsia="KaiTi_GB2312" w:cs="KaiTi_GB2312"/>
          <w:spacing w:val="-33"/>
          <w:sz w:val="28"/>
          <w:szCs w:val="28"/>
        </w:rPr>
        <w:t>：（</w:t>
      </w:r>
      <w:r>
        <w:rPr>
          <w:rFonts w:ascii="KaiTi_GB2312" w:hAnsi="KaiTi_GB2312" w:eastAsia="KaiTi_GB2312" w:cs="KaiTi_GB2312"/>
          <w:spacing w:val="1"/>
          <w:sz w:val="28"/>
          <w:szCs w:val="28"/>
        </w:rPr>
        <w:t>公章）                                    填表时间：  2025</w:t>
      </w:r>
      <w:r>
        <w:rPr>
          <w:rFonts w:ascii="KaiTi_GB2312" w:hAnsi="KaiTi_GB2312" w:eastAsia="KaiTi_GB2312" w:cs="KaiTi_GB2312"/>
          <w:spacing w:val="-58"/>
          <w:sz w:val="28"/>
          <w:szCs w:val="28"/>
        </w:rPr>
        <w:t xml:space="preserve"> </w:t>
      </w:r>
      <w:r>
        <w:rPr>
          <w:rFonts w:ascii="KaiTi_GB2312" w:hAnsi="KaiTi_GB2312" w:eastAsia="KaiTi_GB2312" w:cs="KaiTi_GB2312"/>
          <w:spacing w:val="1"/>
          <w:sz w:val="28"/>
          <w:szCs w:val="28"/>
        </w:rPr>
        <w:t>年   月</w:t>
      </w:r>
      <w:r>
        <w:rPr>
          <w:rFonts w:ascii="KaiTi_GB2312" w:hAnsi="KaiTi_GB2312" w:eastAsia="KaiTi_GB2312" w:cs="KaiTi_GB2312"/>
          <w:spacing w:val="33"/>
          <w:sz w:val="28"/>
          <w:szCs w:val="28"/>
        </w:rPr>
        <w:t xml:space="preserve">  </w:t>
      </w:r>
      <w:r>
        <w:rPr>
          <w:rFonts w:ascii="KaiTi_GB2312" w:hAnsi="KaiTi_GB2312" w:eastAsia="KaiTi_GB2312" w:cs="KaiTi_GB2312"/>
          <w:spacing w:val="1"/>
          <w:sz w:val="28"/>
          <w:szCs w:val="28"/>
        </w:rPr>
        <w:t>日</w:t>
      </w:r>
    </w:p>
    <w:p w14:paraId="500CFF2E">
      <w:pPr>
        <w:spacing w:before="148" w:line="214" w:lineRule="auto"/>
        <w:ind w:left="555"/>
        <w:rPr>
          <w:rFonts w:ascii="KaiTi_GB2312" w:hAnsi="KaiTi_GB2312" w:eastAsia="KaiTi_GB2312" w:cs="KaiTi_GB2312"/>
          <w:sz w:val="28"/>
          <w:szCs w:val="28"/>
        </w:rPr>
      </w:pPr>
      <w:r>
        <w:rPr>
          <w:rFonts w:ascii="KaiTi_GB2312" w:hAnsi="KaiTi_GB2312" w:eastAsia="KaiTi_GB2312" w:cs="KaiTi_GB2312"/>
          <w:sz w:val="28"/>
          <w:szCs w:val="28"/>
        </w:rPr>
        <w:t>项目单位联系人：                                      联系</w:t>
      </w:r>
      <w:r>
        <w:rPr>
          <w:rFonts w:ascii="KaiTi_GB2312" w:hAnsi="KaiTi_GB2312" w:eastAsia="KaiTi_GB2312" w:cs="KaiTi_GB2312"/>
          <w:spacing w:val="-1"/>
          <w:sz w:val="28"/>
          <w:szCs w:val="28"/>
        </w:rPr>
        <w:t>手机：</w:t>
      </w:r>
    </w:p>
    <w:p w14:paraId="253A250A">
      <w:pPr>
        <w:spacing w:line="341" w:lineRule="auto"/>
        <w:rPr>
          <w:rFonts w:ascii="Arial"/>
          <w:sz w:val="21"/>
        </w:rPr>
      </w:pPr>
    </w:p>
    <w:p w14:paraId="1644BAEB">
      <w:pPr>
        <w:spacing w:before="75" w:line="250" w:lineRule="auto"/>
        <w:ind w:left="260" w:right="232" w:firstLine="489"/>
        <w:jc w:val="both"/>
        <w:rPr>
          <w:rFonts w:ascii="KaiTi_GB2312" w:hAnsi="KaiTi_GB2312" w:eastAsia="KaiTi_GB2312" w:cs="KaiTi_GB2312"/>
          <w:sz w:val="23"/>
          <w:szCs w:val="23"/>
        </w:rPr>
      </w:pPr>
      <w:r>
        <w:rPr>
          <w:rFonts w:ascii="KaiTi_GB2312" w:hAnsi="KaiTi_GB2312" w:eastAsia="KaiTi_GB2312" w:cs="KaiTi_GB2312"/>
          <w:spacing w:val="9"/>
          <w:sz w:val="23"/>
          <w:szCs w:val="23"/>
        </w:rPr>
        <w:t>填表注意事项：1.申报开展的综合改革项目以试点实施的单体项目为主；2.填报的项目须能够形成明确的</w:t>
      </w:r>
      <w:bookmarkStart w:id="0" w:name="_GoBack"/>
      <w:bookmarkEnd w:id="0"/>
      <w:r>
        <w:rPr>
          <w:rFonts w:ascii="KaiTi_GB2312" w:hAnsi="KaiTi_GB2312" w:eastAsia="KaiTi_GB2312" w:cs="KaiTi_GB2312"/>
          <w:spacing w:val="9"/>
          <w:sz w:val="23"/>
          <w:szCs w:val="23"/>
        </w:rPr>
        <w:t>改革成果</w:t>
      </w:r>
      <w:r>
        <w:rPr>
          <w:rFonts w:ascii="KaiTi_GB2312" w:hAnsi="KaiTi_GB2312" w:eastAsia="KaiTi_GB2312" w:cs="KaiTi_GB2312"/>
          <w:spacing w:val="8"/>
          <w:sz w:val="23"/>
          <w:szCs w:val="23"/>
        </w:rPr>
        <w:t>；3.</w:t>
      </w:r>
      <w:r>
        <w:rPr>
          <w:rFonts w:ascii="KaiTi_GB2312" w:hAnsi="KaiTi_GB2312" w:eastAsia="KaiTi_GB2312" w:cs="KaiTi_GB2312"/>
          <w:sz w:val="23"/>
          <w:szCs w:val="23"/>
        </w:rPr>
        <w:t xml:space="preserve"> </w:t>
      </w:r>
      <w:r>
        <w:rPr>
          <w:rFonts w:ascii="KaiTi_GB2312" w:hAnsi="KaiTi_GB2312" w:eastAsia="KaiTi_GB2312" w:cs="KaiTi_GB2312"/>
          <w:spacing w:val="10"/>
          <w:sz w:val="23"/>
          <w:szCs w:val="23"/>
        </w:rPr>
        <w:t>预计成果形成时间最迟为</w:t>
      </w:r>
      <w:r>
        <w:rPr>
          <w:rFonts w:ascii="KaiTi_GB2312" w:hAnsi="KaiTi_GB2312" w:eastAsia="KaiTi_GB2312" w:cs="KaiTi_GB2312"/>
          <w:spacing w:val="-36"/>
          <w:sz w:val="23"/>
          <w:szCs w:val="23"/>
        </w:rPr>
        <w:t xml:space="preserve"> </w:t>
      </w:r>
      <w:r>
        <w:rPr>
          <w:rFonts w:ascii="KaiTi_GB2312" w:hAnsi="KaiTi_GB2312" w:eastAsia="KaiTi_GB2312" w:cs="KaiTi_GB2312"/>
          <w:spacing w:val="10"/>
          <w:sz w:val="23"/>
          <w:szCs w:val="23"/>
        </w:rPr>
        <w:t>2026</w:t>
      </w:r>
      <w:r>
        <w:rPr>
          <w:rFonts w:ascii="KaiTi_GB2312" w:hAnsi="KaiTi_GB2312" w:eastAsia="KaiTi_GB2312" w:cs="KaiTi_GB2312"/>
          <w:spacing w:val="-44"/>
          <w:sz w:val="23"/>
          <w:szCs w:val="23"/>
        </w:rPr>
        <w:t xml:space="preserve"> </w:t>
      </w:r>
      <w:r>
        <w:rPr>
          <w:rFonts w:ascii="KaiTi_GB2312" w:hAnsi="KaiTi_GB2312" w:eastAsia="KaiTi_GB2312" w:cs="KaiTi_GB2312"/>
          <w:spacing w:val="10"/>
          <w:sz w:val="23"/>
          <w:szCs w:val="23"/>
        </w:rPr>
        <w:t>年</w:t>
      </w:r>
      <w:r>
        <w:rPr>
          <w:rFonts w:ascii="KaiTi_GB2312" w:hAnsi="KaiTi_GB2312" w:eastAsia="KaiTi_GB2312" w:cs="KaiTi_GB2312"/>
          <w:spacing w:val="-35"/>
          <w:sz w:val="23"/>
          <w:szCs w:val="23"/>
        </w:rPr>
        <w:t xml:space="preserve"> </w:t>
      </w:r>
      <w:r>
        <w:rPr>
          <w:rFonts w:ascii="KaiTi_GB2312" w:hAnsi="KaiTi_GB2312" w:eastAsia="KaiTi_GB2312" w:cs="KaiTi_GB2312"/>
          <w:spacing w:val="10"/>
          <w:sz w:val="23"/>
          <w:szCs w:val="23"/>
        </w:rPr>
        <w:t>4</w:t>
      </w:r>
      <w:r>
        <w:rPr>
          <w:rFonts w:ascii="KaiTi_GB2312" w:hAnsi="KaiTi_GB2312" w:eastAsia="KaiTi_GB2312" w:cs="KaiTi_GB2312"/>
          <w:spacing w:val="-32"/>
          <w:sz w:val="23"/>
          <w:szCs w:val="23"/>
        </w:rPr>
        <w:t xml:space="preserve"> </w:t>
      </w:r>
      <w:r>
        <w:rPr>
          <w:rFonts w:ascii="KaiTi_GB2312" w:hAnsi="KaiTi_GB2312" w:eastAsia="KaiTi_GB2312" w:cs="KaiTi_GB2312"/>
          <w:spacing w:val="10"/>
          <w:sz w:val="23"/>
          <w:szCs w:val="23"/>
        </w:rPr>
        <w:t>月底前；4.预期成果可为出台的相关文件、形成具有推广价值的改革经验、提高管理工</w:t>
      </w:r>
      <w:r>
        <w:rPr>
          <w:rFonts w:ascii="KaiTi_GB2312" w:hAnsi="KaiTi_GB2312" w:eastAsia="KaiTi_GB2312" w:cs="KaiTi_GB2312"/>
          <w:sz w:val="23"/>
          <w:szCs w:val="23"/>
        </w:rPr>
        <w:t xml:space="preserve"> </w:t>
      </w:r>
      <w:r>
        <w:rPr>
          <w:rFonts w:ascii="KaiTi_GB2312" w:hAnsi="KaiTi_GB2312" w:eastAsia="KaiTi_GB2312" w:cs="KaiTi_GB2312"/>
          <w:spacing w:val="8"/>
          <w:sz w:val="23"/>
          <w:szCs w:val="23"/>
        </w:rPr>
        <w:t>作效率等，完成标志一般为出台改革文件、印发实施方案等。</w:t>
      </w:r>
    </w:p>
    <w:sectPr>
      <w:headerReference r:id="rId5" w:type="default"/>
      <w:footerReference r:id="rId6" w:type="default"/>
      <w:pgSz w:w="16838" w:h="11906" w:orient="landscape"/>
      <w:pgMar w:top="1531" w:right="400" w:bottom="1377" w:left="40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KaiTi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553210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3A134C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6A7F248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2128</Words>
  <Characters>2346</Characters>
  <TotalTime>0</TotalTime>
  <ScaleCrop>false</ScaleCrop>
  <LinksUpToDate>false</LinksUpToDate>
  <CharactersWithSpaces>2564</CharactersWithSpaces>
  <Application>WPS Office_12.1.0.21171_F1E327BC-269C-435d-A152-05C5408002CA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2025-05-14T16:39:00Z</dcterms:created>
  <dc:creator>文印员</dc:creator>
  <cp:lastModifiedBy>WPS_1668385835</cp:lastModifiedBy>
  <dcterms:modified xsi:type="dcterms:W3CDTF">2025-05-15T14:24:29Z</dcterms:modified>
  <dc:title>教办发规〔2019〕476号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2025-05-15T22:02:54Z</vt:filetime>
  </property>
  <property fmtid="{D5CDD505-2E9C-101B-9397-08002B2CF9AE}" pid="4" name="KSOTemplateDocerSaveRecord">
    <vt:lpwstr>eyJoZGlkIjoiMTQ2YmM4NGU2NjE1ZGEwNWVkZjE1ZjhkM2Y1YzYyZTgiLCJ1c2VySWQiOiIxNDQxODY5OTM4In0=</vt:lpwstr>
  </property>
  <property fmtid="{D5CDD505-2E9C-101B-9397-08002B2CF9AE}" pid="5" name="KSOProductBuildVer">
    <vt:lpwstr>2052-12.1.0.21171</vt:lpwstr>
  </property>
  <property fmtid="{D5CDD505-2E9C-101B-9397-08002B2CF9AE}" pid="6" name="ICV">
    <vt:lpwstr>8687D63718804CD096E58F2034B553D1_12</vt:lpwstr>
  </property>
</Properties>
</file>