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EF7A">
      <w:pPr>
        <w:widowControl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 w:bidi="mn-Mong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 w:bidi="mn-Mong-CN"/>
        </w:rPr>
        <w:t>附件5</w:t>
      </w:r>
    </w:p>
    <w:p w14:paraId="466A343C">
      <w:pPr>
        <w:suppressAutoHyphens/>
        <w:spacing w:line="360" w:lineRule="auto"/>
        <w:jc w:val="center"/>
        <w:rPr>
          <w:rFonts w:ascii="方正小标宋简体" w:hAnsi="黑体" w:eastAsia="方正小标宋简体" w:cs="黑体"/>
          <w:sz w:val="36"/>
          <w:szCs w:val="36"/>
        </w:rPr>
      </w:pPr>
      <w:bookmarkStart w:id="17" w:name="_GoBack"/>
      <w:r>
        <w:rPr>
          <w:rFonts w:hint="eastAsia" w:ascii="方正小标宋简体" w:hAnsi="黑体" w:eastAsia="方正小标宋简体" w:cs="黑体"/>
          <w:sz w:val="36"/>
          <w:szCs w:val="36"/>
        </w:rPr>
        <w:t>课程思政示范案例模版</w:t>
      </w:r>
    </w:p>
    <w:bookmarkEnd w:id="17"/>
    <w:p w14:paraId="419AB274">
      <w:pPr>
        <w:suppressAutoHyphens/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凝练一个标题--《xxxxxx》课程思政示范案例</w:t>
      </w:r>
    </w:p>
    <w:p w14:paraId="72EE0546">
      <w:pPr>
        <w:suppressAutoHyphens/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（例如：博学笃行 经世济民</w:t>
      </w:r>
    </w:p>
    <w:p w14:paraId="563307E9">
      <w:pPr>
        <w:suppressAutoHyphens/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--《经济学原理》课程思政示范案例）</w:t>
      </w:r>
    </w:p>
    <w:p w14:paraId="58671C47">
      <w:pPr>
        <w:suppressAutoHyphens/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（标题：黑体，三号，居中，段前段后0，1.5倍行距）</w:t>
      </w:r>
    </w:p>
    <w:p w14:paraId="4B9F4979">
      <w:pPr>
        <w:suppressAutoHyphens/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（全文5000字左右）</w:t>
      </w:r>
    </w:p>
    <w:p w14:paraId="0E73A264">
      <w:pPr>
        <w:suppressAutoHyphens/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一、课程简介</w:t>
      </w:r>
      <w:bookmarkStart w:id="0" w:name="OLE_LINK14"/>
      <w:r>
        <w:rPr>
          <w:rFonts w:hint="eastAsia" w:ascii="黑体" w:hAnsi="黑体" w:eastAsia="黑体" w:cs="黑体"/>
          <w:sz w:val="24"/>
        </w:rPr>
        <w:t>（一级标题</w:t>
      </w:r>
      <w:bookmarkStart w:id="1" w:name="OLE_LINK20"/>
      <w:r>
        <w:rPr>
          <w:rFonts w:hint="eastAsia" w:ascii="黑体" w:hAnsi="黑体" w:eastAsia="黑体" w:cs="黑体"/>
          <w:sz w:val="24"/>
        </w:rPr>
        <w:t>：黑体，小四，左对齐，段前段后0，1.5倍行距</w:t>
      </w:r>
      <w:bookmarkEnd w:id="1"/>
      <w:r>
        <w:rPr>
          <w:rFonts w:hint="eastAsia" w:ascii="黑体" w:hAnsi="黑体" w:eastAsia="黑体" w:cs="黑体"/>
          <w:sz w:val="24"/>
        </w:rPr>
        <w:t>）</w:t>
      </w:r>
      <w:bookmarkEnd w:id="0"/>
    </w:p>
    <w:p w14:paraId="01E3FA48">
      <w:pPr>
        <w:suppressAutoHyphens/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（300-500字）</w:t>
      </w:r>
    </w:p>
    <w:p w14:paraId="193AD1A3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《XXXXXXXX》是XXXXXX学院开设的</w:t>
      </w:r>
      <w:bookmarkStart w:id="2" w:name="OLE_LINK2"/>
      <w:r>
        <w:rPr>
          <w:rFonts w:hint="eastAsia" w:asciiTheme="minorEastAsia" w:hAnsiTheme="minorEastAsia" w:cstheme="minorEastAsia"/>
          <w:szCs w:val="21"/>
        </w:rPr>
        <w:t>XXXXXX</w:t>
      </w:r>
      <w:bookmarkEnd w:id="2"/>
      <w:r>
        <w:rPr>
          <w:rFonts w:hint="eastAsia" w:asciiTheme="minorEastAsia" w:hAnsiTheme="minorEastAsia" w:cstheme="minorEastAsia"/>
          <w:szCs w:val="21"/>
        </w:rPr>
        <w:t>课程，面向XXXXXX专业学生，共计XX学时，XX学分，属于XXXXXX课程（通识类/专业基础/专业核心/实践类），本课程……………(参考课程教学大纲）。（正文：宋体，五号，首行缩进2字符，段前段后0，1.5倍行距）</w:t>
      </w:r>
    </w:p>
    <w:p w14:paraId="3EFB47E4">
      <w:pPr>
        <w:suppressAutoHyphens/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二、课程目标（一级标题：黑体，小四，左对齐，段前段后0，1.5倍行距）</w:t>
      </w:r>
    </w:p>
    <w:p w14:paraId="54850161">
      <w:pPr>
        <w:suppressAutoHyphens/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（300-500字）</w:t>
      </w:r>
    </w:p>
    <w:p w14:paraId="5947F88F">
      <w:pPr>
        <w:numPr>
          <w:ilvl w:val="0"/>
          <w:numId w:val="1"/>
        </w:numPr>
        <w:suppressAutoHyphens/>
        <w:spacing w:line="360" w:lineRule="auto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知识目标：</w:t>
      </w:r>
      <w:bookmarkStart w:id="3" w:name="OLE_LINK5"/>
      <w:bookmarkStart w:id="4" w:name="OLE_LINK6"/>
      <w:r>
        <w:rPr>
          <w:rFonts w:hint="eastAsia" w:ascii="黑体" w:hAnsi="黑体" w:eastAsia="黑体" w:cs="黑体"/>
          <w:bCs/>
          <w:szCs w:val="21"/>
        </w:rPr>
        <w:t>（二级标题</w:t>
      </w:r>
      <w:bookmarkStart w:id="5" w:name="OLE_LINK8"/>
      <w:r>
        <w:rPr>
          <w:rFonts w:hint="eastAsia" w:ascii="黑体" w:hAnsi="黑体" w:eastAsia="黑体" w:cs="黑体"/>
          <w:bCs/>
          <w:szCs w:val="21"/>
        </w:rPr>
        <w:t>：黑体，五号，首行缩进2字符，段前段后0，1.5倍行距</w:t>
      </w:r>
      <w:bookmarkEnd w:id="5"/>
      <w:r>
        <w:rPr>
          <w:rFonts w:hint="eastAsia" w:ascii="黑体" w:hAnsi="黑体" w:eastAsia="黑体" w:cs="黑体"/>
          <w:bCs/>
          <w:szCs w:val="21"/>
        </w:rPr>
        <w:t>）</w:t>
      </w:r>
      <w:bookmarkEnd w:id="3"/>
    </w:p>
    <w:bookmarkEnd w:id="4"/>
    <w:p w14:paraId="1D737251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[具体知识目标内容：知识目标是课程教学中对学生知识掌握程度的具体要求，旨在通过课程学习，使学生掌握课程的核心概念、理论知识、基本原理和方法。知识目标是课程教学的基础，为学生后续的能力培养和思政教育提供理论支撑。]（正文）</w:t>
      </w:r>
    </w:p>
    <w:p w14:paraId="36D18CA9">
      <w:pPr>
        <w:numPr>
          <w:ilvl w:val="0"/>
          <w:numId w:val="1"/>
        </w:numPr>
        <w:suppressAutoHyphens/>
        <w:spacing w:line="360" w:lineRule="auto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能力目标：</w:t>
      </w:r>
      <w:bookmarkStart w:id="6" w:name="OLE_LINK17"/>
      <w:r>
        <w:rPr>
          <w:rFonts w:hint="eastAsia" w:ascii="黑体" w:hAnsi="黑体" w:eastAsia="黑体" w:cs="黑体"/>
          <w:bCs/>
          <w:szCs w:val="21"/>
        </w:rPr>
        <w:t>（二级标题）</w:t>
      </w:r>
      <w:bookmarkEnd w:id="6"/>
    </w:p>
    <w:p w14:paraId="146FE5AE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[具体能力目标内容: 能力目标是课程教学中对学生实践能力、思维能力、创新能力等综合素质的培养要求。它强调学生将所学知识转化为实际操作能力，注重培养学生的独立思考、问题解决和团队协作能力。]（正文）</w:t>
      </w:r>
    </w:p>
    <w:p w14:paraId="164F43A0">
      <w:pPr>
        <w:numPr>
          <w:ilvl w:val="0"/>
          <w:numId w:val="1"/>
        </w:numPr>
        <w:suppressAutoHyphens/>
        <w:spacing w:line="360" w:lineRule="auto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思政目标：</w:t>
      </w:r>
      <w:r>
        <w:rPr>
          <w:rFonts w:hint="eastAsia" w:ascii="黑体" w:hAnsi="黑体" w:eastAsia="黑体" w:cs="黑体"/>
          <w:bCs/>
          <w:szCs w:val="21"/>
        </w:rPr>
        <w:t>（二级标题）</w:t>
      </w:r>
    </w:p>
    <w:p w14:paraId="31A020E9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[具体思政目标内容: 思政目标是课程思政建设中的核心目标，旨在通过课程教学，将思想政治教育有机融入课程内容，培养学生正确的价值观、社会责任感和爱国主义精神，实现知识传授与价值引领的有机统一。]（正文）</w:t>
      </w:r>
    </w:p>
    <w:p w14:paraId="24AEDC0B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以《大学物理》课程为例：</w:t>
      </w:r>
    </w:p>
    <w:p w14:paraId="2725AE49">
      <w:pPr>
        <w:numPr>
          <w:ilvl w:val="0"/>
          <w:numId w:val="2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知识目标：</w:t>
      </w:r>
    </w:p>
    <w:p w14:paraId="457252B9">
      <w:pPr>
        <w:numPr>
          <w:ilvl w:val="0"/>
          <w:numId w:val="3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掌握经典力学的基本概念：如质点运动学、牛顿运动定律、动量守恒定律等，能够运用这些定律解决简单的力学问题。</w:t>
      </w:r>
    </w:p>
    <w:p w14:paraId="5DCA55A6">
      <w:pPr>
        <w:numPr>
          <w:ilvl w:val="0"/>
          <w:numId w:val="3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理解电磁学的基本原理：包括电场、磁场、电磁感应等，熟悉电磁学的基本公式及其应用。</w:t>
      </w:r>
    </w:p>
    <w:p w14:paraId="24C4BF10">
      <w:pPr>
        <w:numPr>
          <w:ilvl w:val="0"/>
          <w:numId w:val="3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熟悉光学的基本现象：如光的反射、折射、干涉、衍射等，能够解释日常生活中的光学现象。</w:t>
      </w:r>
    </w:p>
    <w:p w14:paraId="16FC56D9">
      <w:pPr>
        <w:numPr>
          <w:ilvl w:val="0"/>
          <w:numId w:val="3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了解近代物理学的基本概念：如相对论、量子力学等，拓宽学生的科学视野。</w:t>
      </w:r>
    </w:p>
    <w:p w14:paraId="610CC1E5">
      <w:pPr>
        <w:numPr>
          <w:ilvl w:val="0"/>
          <w:numId w:val="2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能力目标：</w:t>
      </w:r>
    </w:p>
    <w:p w14:paraId="51AF0402">
      <w:pPr>
        <w:numPr>
          <w:ilvl w:val="0"/>
          <w:numId w:val="4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数据分析能力：掌握实验数据的处理方法，如误差分析、数据拟合等，能够对实验结果进行科学分析和总结。</w:t>
      </w:r>
    </w:p>
    <w:p w14:paraId="744E4C0A">
      <w:pPr>
        <w:numPr>
          <w:ilvl w:val="0"/>
          <w:numId w:val="4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问题解决能力：通过实验设计和实验过程中的问题解决，培养学生独立思考和解决实际问题的能力。</w:t>
      </w:r>
    </w:p>
    <w:p w14:paraId="5619010D">
      <w:pPr>
        <w:numPr>
          <w:ilvl w:val="0"/>
          <w:numId w:val="4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实验操作能力：能够熟练使用物理实验仪器，如示波器、万用表等，完成基本的物理实验操作，如测量电阻、验证牛顿第二定律等。</w:t>
      </w:r>
    </w:p>
    <w:p w14:paraId="6FB61680">
      <w:pPr>
        <w:numPr>
          <w:ilvl w:val="0"/>
          <w:numId w:val="4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团队协作能力：在实验过程中，学生需要分工合作，完成实验任务，培养团队协作精神和沟通能力。</w:t>
      </w:r>
    </w:p>
    <w:p w14:paraId="4E881441">
      <w:pPr>
        <w:numPr>
          <w:ilvl w:val="0"/>
          <w:numId w:val="2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思政目标：</w:t>
      </w:r>
    </w:p>
    <w:p w14:paraId="5E9DE315">
      <w:pPr>
        <w:numPr>
          <w:ilvl w:val="0"/>
          <w:numId w:val="5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科学精神培养：通过物理学史的学习，介绍科学家如牛顿、爱因斯坦等的科学精神和探索精神，培养学生严谨的科学态度和创新意识。</w:t>
      </w:r>
    </w:p>
    <w:p w14:paraId="5D0AD8FF">
      <w:pPr>
        <w:numPr>
          <w:ilvl w:val="0"/>
          <w:numId w:val="5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爱国主义教育：结合我国在物理学领域的重大成就，如“两弹一星”、载人航天等，激发学生的爱国情怀和民族自豪感。</w:t>
      </w:r>
    </w:p>
    <w:p w14:paraId="7922B2FC">
      <w:pPr>
        <w:numPr>
          <w:ilvl w:val="0"/>
          <w:numId w:val="5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社会责任感培养：通过讨论物理学在环境保护、新能源开发中的应用，引导学生树立可持续发展的理念，增强社会责任感。</w:t>
      </w:r>
    </w:p>
    <w:p w14:paraId="2F213C56">
      <w:pPr>
        <w:numPr>
          <w:ilvl w:val="0"/>
          <w:numId w:val="5"/>
        </w:num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价值观塑造：通过课程思政案例，引导学生树立正确的世界观、人生观和价值观，培养学生的社会责任感和使命感。</w:t>
      </w:r>
    </w:p>
    <w:p w14:paraId="0E71CDDE">
      <w:pPr>
        <w:numPr>
          <w:ilvl w:val="0"/>
          <w:numId w:val="6"/>
        </w:numPr>
        <w:suppressAutoHyphens/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课程思政案例（一级标题：黑体，小四，左对齐，段前段后0，1.5倍行距）</w:t>
      </w:r>
    </w:p>
    <w:p w14:paraId="18CB31BC">
      <w:pPr>
        <w:suppressAutoHyphens/>
        <w:spacing w:line="360" w:lineRule="auto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（以下部分可根据课程思政教学设计适当调整内容和三级标题，如果仅一个案例，也可适当增加字数，注意控制全文字数5000字左右）</w:t>
      </w:r>
    </w:p>
    <w:p w14:paraId="18A3BF86">
      <w:pPr>
        <w:suppressAutoHyphens/>
        <w:spacing w:line="360" w:lineRule="auto"/>
        <w:ind w:firstLine="420"/>
        <w:jc w:val="center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案例标题</w:t>
      </w:r>
    </w:p>
    <w:p w14:paraId="0A45F9A2">
      <w:pPr>
        <w:suppressAutoHyphens/>
        <w:spacing w:line="360" w:lineRule="auto"/>
        <w:ind w:firstLine="420"/>
        <w:jc w:val="center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（子标题：黑体，五号，无缩进，居中，段前段后0，1.5倍行距）</w:t>
      </w:r>
    </w:p>
    <w:p w14:paraId="27AAAB9D">
      <w:pPr>
        <w:suppressAutoHyphens/>
        <w:spacing w:line="360" w:lineRule="auto"/>
        <w:ind w:firstLine="420"/>
        <w:rPr>
          <w:rFonts w:ascii="黑体" w:hAnsi="黑体" w:eastAsia="黑体" w:cs="黑体"/>
          <w:bCs/>
          <w:szCs w:val="21"/>
        </w:rPr>
      </w:pPr>
      <w:bookmarkStart w:id="7" w:name="OLE_LINK18"/>
      <w:r>
        <w:rPr>
          <w:rFonts w:hint="eastAsia" w:ascii="黑体" w:hAnsi="黑体" w:eastAsia="黑体" w:cs="Times New Roman"/>
          <w:szCs w:val="21"/>
        </w:rPr>
        <w:t>（一）案例介绍</w:t>
      </w:r>
      <w:bookmarkStart w:id="8" w:name="OLE_LINK7"/>
      <w:r>
        <w:rPr>
          <w:rFonts w:hint="eastAsia" w:ascii="黑体" w:hAnsi="黑体" w:eastAsia="黑体" w:cs="黑体"/>
          <w:bCs/>
          <w:szCs w:val="21"/>
        </w:rPr>
        <w:t>（二级标题）</w:t>
      </w:r>
    </w:p>
    <w:p w14:paraId="0C974498">
      <w:pPr>
        <w:suppressAutoHyphens/>
        <w:spacing w:line="360" w:lineRule="auto"/>
        <w:ind w:firstLine="42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Cs/>
          <w:szCs w:val="21"/>
        </w:rPr>
        <w:t>（</w:t>
      </w:r>
      <w:r>
        <w:rPr>
          <w:rFonts w:hint="eastAsia" w:ascii="黑体" w:hAnsi="黑体" w:eastAsia="黑体" w:cs="Times New Roman"/>
          <w:szCs w:val="21"/>
        </w:rPr>
        <w:t>400-500字）</w:t>
      </w:r>
    </w:p>
    <w:bookmarkEnd w:id="8"/>
    <w:p w14:paraId="0BF0648C">
      <w:pPr>
        <w:numPr>
          <w:ilvl w:val="1"/>
          <w:numId w:val="7"/>
        </w:numPr>
        <w:suppressAutoHyphens/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背景介绍：</w:t>
      </w:r>
      <w:bookmarkStart w:id="9" w:name="OLE_LINK15"/>
      <w:r>
        <w:rPr>
          <w:rFonts w:hint="eastAsia" w:asciiTheme="minorEastAsia" w:hAnsiTheme="minorEastAsia" w:cstheme="minorEastAsia"/>
          <w:b/>
          <w:bCs/>
          <w:szCs w:val="21"/>
        </w:rPr>
        <w:t>（三级标题：宋体，五号，加粗，首行缩进2字符，段前段后0，1.5倍行距）</w:t>
      </w:r>
      <w:bookmarkEnd w:id="9"/>
    </w:p>
    <w:p w14:paraId="7BA82244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[案例背景的详细描述]（正文）</w:t>
      </w:r>
    </w:p>
    <w:p w14:paraId="5B26E8D3">
      <w:pPr>
        <w:numPr>
          <w:ilvl w:val="1"/>
          <w:numId w:val="7"/>
        </w:numPr>
        <w:suppressAutoHyphens/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案例分析：（三级标题）</w:t>
      </w:r>
    </w:p>
    <w:p w14:paraId="24980095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[对案例中涉及的思政元素进行分析，阐述其与课程内容的结合点]（正文）</w:t>
      </w:r>
    </w:p>
    <w:p w14:paraId="16E235DC">
      <w:pPr>
        <w:suppressAutoHyphens/>
        <w:spacing w:line="360" w:lineRule="auto"/>
        <w:ind w:firstLine="420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（二）</w:t>
      </w:r>
      <w:bookmarkStart w:id="10" w:name="OLE_LINK3"/>
      <w:r>
        <w:rPr>
          <w:rFonts w:hint="eastAsia" w:ascii="黑体" w:hAnsi="黑体" w:eastAsia="黑体" w:cs="Times New Roman"/>
          <w:szCs w:val="21"/>
        </w:rPr>
        <w:t>案例适用章节</w:t>
      </w:r>
    </w:p>
    <w:p w14:paraId="3FE3772F">
      <w:pPr>
        <w:suppressAutoHyphens/>
        <w:spacing w:line="360" w:lineRule="auto"/>
        <w:ind w:left="420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章节教学目标</w:t>
      </w:r>
    </w:p>
    <w:p w14:paraId="22D37035">
      <w:pPr>
        <w:suppressAutoHyphens/>
        <w:spacing w:line="360" w:lineRule="auto"/>
        <w:ind w:firstLine="420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Times New Roman"/>
          <w:szCs w:val="21"/>
        </w:rPr>
        <w:t>（三）课程思政教学设计</w:t>
      </w:r>
      <w:bookmarkEnd w:id="10"/>
      <w:bookmarkStart w:id="11" w:name="OLE_LINK4"/>
      <w:r>
        <w:rPr>
          <w:rFonts w:hint="eastAsia" w:ascii="黑体" w:hAnsi="黑体" w:eastAsia="黑体" w:cs="黑体"/>
          <w:bCs/>
          <w:szCs w:val="21"/>
        </w:rPr>
        <w:t>（二级标题）</w:t>
      </w:r>
    </w:p>
    <w:p w14:paraId="676BA9D9">
      <w:pPr>
        <w:suppressAutoHyphens/>
        <w:spacing w:line="360" w:lineRule="auto"/>
        <w:ind w:firstLine="42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Cs/>
          <w:szCs w:val="21"/>
        </w:rPr>
        <w:t>（</w:t>
      </w:r>
      <w:r>
        <w:rPr>
          <w:rFonts w:hint="eastAsia" w:ascii="黑体" w:hAnsi="黑体" w:eastAsia="黑体" w:cs="Times New Roman"/>
          <w:szCs w:val="21"/>
        </w:rPr>
        <w:t>800-1000字</w:t>
      </w:r>
      <w:bookmarkEnd w:id="11"/>
      <w:r>
        <w:rPr>
          <w:rFonts w:hint="eastAsia" w:ascii="黑体" w:hAnsi="黑体" w:eastAsia="黑体" w:cs="Times New Roman"/>
          <w:szCs w:val="21"/>
        </w:rPr>
        <w:t>）</w:t>
      </w:r>
    </w:p>
    <w:p w14:paraId="1701B0E5">
      <w:pPr>
        <w:numPr>
          <w:ilvl w:val="1"/>
          <w:numId w:val="8"/>
        </w:numPr>
        <w:suppressAutoHyphens/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课前导入：（三级标题）</w:t>
      </w:r>
    </w:p>
    <w:p w14:paraId="26135557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[介绍课前如何导入思政元素，引导学生思考]（正文）</w:t>
      </w:r>
    </w:p>
    <w:p w14:paraId="105C62DC">
      <w:pPr>
        <w:numPr>
          <w:ilvl w:val="1"/>
          <w:numId w:val="8"/>
        </w:numPr>
        <w:suppressAutoHyphens/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课中实施：（三级标题）</w:t>
      </w:r>
    </w:p>
    <w:p w14:paraId="19605D37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[详细描述在课堂教学过程中，所采用的教学方法，如何将思政元素贯穿于教学环节，介绍具体的教学活动设计，及每个活动的目的和预期效果]（正文）</w:t>
      </w:r>
    </w:p>
    <w:p w14:paraId="0D3CBF9A">
      <w:pPr>
        <w:numPr>
          <w:ilvl w:val="1"/>
          <w:numId w:val="8"/>
        </w:numPr>
        <w:suppressAutoHyphens/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课后总结：（三级标题）</w:t>
      </w:r>
    </w:p>
    <w:p w14:paraId="31FA1BA6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[对课程思政教学效果进行总结反思，提出改进建议]</w:t>
      </w:r>
      <w:bookmarkStart w:id="12" w:name="OLE_LINK16"/>
      <w:r>
        <w:rPr>
          <w:rFonts w:hint="eastAsia" w:asciiTheme="minorEastAsia" w:hAnsiTheme="minorEastAsia" w:cstheme="minorEastAsia"/>
          <w:szCs w:val="21"/>
        </w:rPr>
        <w:t>（正文）</w:t>
      </w:r>
      <w:bookmarkEnd w:id="12"/>
    </w:p>
    <w:p w14:paraId="572E6506">
      <w:pPr>
        <w:suppressAutoHyphens/>
        <w:spacing w:line="360" w:lineRule="auto"/>
        <w:ind w:firstLine="420"/>
        <w:rPr>
          <w:rFonts w:ascii="黑体" w:hAnsi="黑体" w:eastAsia="黑体" w:cs="黑体"/>
          <w:bCs/>
          <w:szCs w:val="21"/>
        </w:rPr>
      </w:pPr>
      <w:bookmarkStart w:id="13" w:name="OLE_LINK10"/>
      <w:r>
        <w:rPr>
          <w:rFonts w:hint="eastAsia" w:ascii="黑体" w:hAnsi="黑体" w:eastAsia="黑体" w:cs="Times New Roman"/>
          <w:szCs w:val="21"/>
        </w:rPr>
        <w:t>（四）案例特色与创新点</w:t>
      </w:r>
      <w:r>
        <w:rPr>
          <w:rFonts w:hint="eastAsia" w:ascii="黑体" w:hAnsi="黑体" w:eastAsia="黑体" w:cs="黑体"/>
          <w:bCs/>
          <w:szCs w:val="21"/>
        </w:rPr>
        <w:t>（二级标题）</w:t>
      </w:r>
    </w:p>
    <w:p w14:paraId="5B5925D0">
      <w:pPr>
        <w:suppressAutoHyphens/>
        <w:spacing w:line="360" w:lineRule="auto"/>
        <w:ind w:firstLine="420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（</w:t>
      </w:r>
      <w:r>
        <w:rPr>
          <w:rFonts w:hint="eastAsia" w:ascii="黑体" w:hAnsi="黑体" w:eastAsia="黑体" w:cs="Times New Roman"/>
          <w:szCs w:val="21"/>
        </w:rPr>
        <w:t>400-500字）</w:t>
      </w:r>
    </w:p>
    <w:bookmarkEnd w:id="13"/>
    <w:p w14:paraId="50F63FFD">
      <w:pPr>
        <w:numPr>
          <w:ilvl w:val="1"/>
          <w:numId w:val="9"/>
        </w:numPr>
        <w:suppressAutoHyphens/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特色：（三级标题）</w:t>
      </w:r>
    </w:p>
    <w:p w14:paraId="70989A57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[阐述本案例在课程思政教学中的独特之处]（正文）</w:t>
      </w:r>
    </w:p>
    <w:p w14:paraId="70918BCE">
      <w:pPr>
        <w:numPr>
          <w:ilvl w:val="1"/>
          <w:numId w:val="9"/>
        </w:numPr>
        <w:suppressAutoHyphens/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创新点：（三级标题）</w:t>
      </w:r>
    </w:p>
    <w:p w14:paraId="67E90909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[说明本案例在教学设计、方法运用、思政元素挖掘等方面的创新之处]（正文）</w:t>
      </w:r>
      <w:bookmarkEnd w:id="7"/>
    </w:p>
    <w:p w14:paraId="11D68DC1">
      <w:pPr>
        <w:numPr>
          <w:ilvl w:val="0"/>
          <w:numId w:val="6"/>
        </w:numPr>
        <w:suppressAutoHyphens/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课程评价（一级标题</w:t>
      </w:r>
      <w:bookmarkStart w:id="14" w:name="OLE_LINK12"/>
      <w:r>
        <w:rPr>
          <w:rFonts w:hint="eastAsia" w:ascii="黑体" w:hAnsi="黑体" w:eastAsia="黑体" w:cs="黑体"/>
          <w:sz w:val="24"/>
        </w:rPr>
        <w:t>，</w:t>
      </w:r>
      <w:bookmarkStart w:id="15" w:name="OLE_LINK19"/>
      <w:r>
        <w:rPr>
          <w:rFonts w:hint="eastAsia" w:ascii="黑体" w:hAnsi="黑体" w:eastAsia="黑体" w:cs="黑体"/>
          <w:sz w:val="24"/>
        </w:rPr>
        <w:t>500字</w:t>
      </w:r>
      <w:bookmarkEnd w:id="14"/>
      <w:r>
        <w:rPr>
          <w:rFonts w:hint="eastAsia" w:ascii="黑体" w:hAnsi="黑体" w:eastAsia="黑体" w:cs="黑体"/>
          <w:sz w:val="24"/>
        </w:rPr>
        <w:t>左右</w:t>
      </w:r>
      <w:bookmarkEnd w:id="15"/>
      <w:r>
        <w:rPr>
          <w:rFonts w:hint="eastAsia" w:ascii="黑体" w:hAnsi="黑体" w:eastAsia="黑体" w:cs="黑体"/>
          <w:sz w:val="24"/>
        </w:rPr>
        <w:t>）</w:t>
      </w:r>
    </w:p>
    <w:p w14:paraId="11110DFA">
      <w:pPr>
        <w:suppressAutoHyphens/>
        <w:spacing w:line="360" w:lineRule="auto"/>
        <w:ind w:firstLine="420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（一）评价方式：</w:t>
      </w:r>
      <w:bookmarkStart w:id="16" w:name="OLE_LINK9"/>
      <w:r>
        <w:rPr>
          <w:rFonts w:hint="eastAsia" w:ascii="黑体" w:hAnsi="黑体" w:eastAsia="黑体" w:cs="Times New Roman"/>
          <w:szCs w:val="21"/>
        </w:rPr>
        <w:t>（二级标题）</w:t>
      </w:r>
      <w:bookmarkEnd w:id="16"/>
    </w:p>
    <w:p w14:paraId="5BD60B41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[介绍采用的评价方式，如学生反馈、课堂表现、作业成绩等]（正文）</w:t>
      </w:r>
    </w:p>
    <w:p w14:paraId="61A3E8D0">
      <w:pPr>
        <w:suppressAutoHyphens/>
        <w:spacing w:line="360" w:lineRule="auto"/>
        <w:ind w:firstLine="420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（二）评价结果：（二级标题）</w:t>
      </w:r>
    </w:p>
    <w:p w14:paraId="75728D08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[课程目标达成情况，如知识、能力、思政目标达成度，学生受益效果等]（正文）</w:t>
      </w:r>
    </w:p>
    <w:p w14:paraId="308C9E5C">
      <w:pPr>
        <w:suppressAutoHyphens/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五、总结与反思（一级标题，500字左右）</w:t>
      </w:r>
    </w:p>
    <w:p w14:paraId="7CA56343">
      <w:pPr>
        <w:suppressAutoHyphens/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[对整个课程思政教学案例进行总结与反思，包括成功经验、不足之处及改进措施等]</w:t>
      </w:r>
    </w:p>
    <w:p w14:paraId="77EC493C"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1361" w:gutter="0"/>
          <w:cols w:space="425" w:num="1"/>
          <w:docGrid w:type="lines" w:linePitch="312" w:charSpace="0"/>
        </w:sectPr>
      </w:pPr>
    </w:p>
    <w:p w14:paraId="753334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C78BD"/>
    <w:multiLevelType w:val="singleLevel"/>
    <w:tmpl w:val="854C78B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8645C77"/>
    <w:multiLevelType w:val="multilevel"/>
    <w:tmpl w:val="98645C7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rPr>
        <w:rFonts w:hint="default"/>
      </w:rPr>
    </w:lvl>
    <w:lvl w:ilvl="2" w:tentative="0">
      <w:start w:val="1"/>
      <w:numFmt w:val="decimal"/>
      <w:suff w:val="nothing"/>
      <w:lvlText w:val="%3．"/>
      <w:lvlJc w:val="left"/>
      <w:rPr>
        <w:rFonts w:hint="default"/>
      </w:rPr>
    </w:lvl>
    <w:lvl w:ilvl="3" w:tentative="0">
      <w:start w:val="1"/>
      <w:numFmt w:val="decimal"/>
      <w:suff w:val="nothing"/>
      <w:lvlText w:val="（%4）"/>
      <w:lvlJc w:val="left"/>
      <w:rPr>
        <w:rFonts w:hint="default"/>
      </w:rPr>
    </w:lvl>
    <w:lvl w:ilvl="4" w:tentative="0">
      <w:start w:val="1"/>
      <w:numFmt w:val="decimalEnclosedCircleChinese"/>
      <w:suff w:val="nothing"/>
      <w:lvlText w:val="%5"/>
      <w:lvlJc w:val="left"/>
      <w:rPr>
        <w:rFonts w:hint="default"/>
      </w:rPr>
    </w:lvl>
    <w:lvl w:ilvl="5" w:tentative="0">
      <w:start w:val="1"/>
      <w:numFmt w:val="upperLetter"/>
      <w:suff w:val="nothing"/>
      <w:lvlText w:val="%6."/>
      <w:lvlJc w:val="left"/>
      <w:rPr>
        <w:rFonts w:hint="default"/>
      </w:rPr>
    </w:lvl>
    <w:lvl w:ilvl="6" w:tentative="0">
      <w:start w:val="1"/>
      <w:numFmt w:val="lowerLetter"/>
      <w:suff w:val="nothing"/>
      <w:lvlText w:val="%7．"/>
      <w:lvlJc w:val="left"/>
      <w:rPr>
        <w:rFonts w:hint="default"/>
      </w:rPr>
    </w:lvl>
    <w:lvl w:ilvl="7" w:tentative="0">
      <w:start w:val="1"/>
      <w:numFmt w:val="upperLetter"/>
      <w:suff w:val="nothing"/>
      <w:lvlText w:val="（%8）"/>
      <w:lvlJc w:val="left"/>
      <w:rPr>
        <w:rFonts w:hint="default"/>
      </w:rPr>
    </w:lvl>
    <w:lvl w:ilvl="8" w:tentative="0">
      <w:start w:val="1"/>
      <w:numFmt w:val="lowerLetter"/>
      <w:suff w:val="nothing"/>
      <w:lvlText w:val="（%9）"/>
      <w:lvlJc w:val="left"/>
      <w:rPr>
        <w:rFonts w:hint="default"/>
      </w:rPr>
    </w:lvl>
  </w:abstractNum>
  <w:abstractNum w:abstractNumId="2">
    <w:nsid w:val="9A2D28B7"/>
    <w:multiLevelType w:val="multilevel"/>
    <w:tmpl w:val="9A2D28B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3">
    <w:nsid w:val="B1BAA751"/>
    <w:multiLevelType w:val="multilevel"/>
    <w:tmpl w:val="B1BAA75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4">
    <w:nsid w:val="BFA257B8"/>
    <w:multiLevelType w:val="singleLevel"/>
    <w:tmpl w:val="BFA257B8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C7BE1C79"/>
    <w:multiLevelType w:val="singleLevel"/>
    <w:tmpl w:val="C7BE1C7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D8A1EABB"/>
    <w:multiLevelType w:val="multilevel"/>
    <w:tmpl w:val="D8A1EAB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7">
    <w:nsid w:val="1FE4F114"/>
    <w:multiLevelType w:val="singleLevel"/>
    <w:tmpl w:val="1FE4F1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CC8D2AC"/>
    <w:multiLevelType w:val="singleLevel"/>
    <w:tmpl w:val="2CC8D2A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A0E9F"/>
    <w:rsid w:val="1DCA0E9F"/>
    <w:rsid w:val="39F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2025-12-24T02:06:00Z</dcterms:created>
  <dc:creator>史彰民</dc:creator>
  <cp:lastModifiedBy>史彰民</cp:lastModifiedBy>
  <dcterms:modified xsi:type="dcterms:W3CDTF">2025-12-24T02:09:10Z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443795D0238146C89717D32AAFCA890D_11</vt:lpwstr>
  </property>
  <property fmtid="{D5CDD505-2E9C-101B-9397-08002B2CF9AE}" pid="4" name="KSOTemplateDocerSaveRecord">
    <vt:lpwstr>eyJoZGlkIjoiMDRkNjY0YjRlZjNjNzZlYzFjZDhkYmNlNzE0M2U3YjEiLCJ1c2VySWQiOiIxNDk3MzAyMzkzIn0=</vt:lpwstr>
  </property>
</Properties>
</file>