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方正小标宋简体" w:eastAsia="方正小标宋简体"/>
          <w:w w:val="98"/>
          <w:sz w:val="44"/>
          <w:szCs w:val="44"/>
          <w:lang w:eastAsia="zh-CN"/>
        </w:rPr>
      </w:pPr>
      <w:r>
        <w:rPr>
          <w:rFonts w:hint="eastAsia" w:ascii="方正小标宋简体" w:eastAsia="方正小标宋简体"/>
          <w:w w:val="98"/>
          <w:sz w:val="44"/>
          <w:szCs w:val="44"/>
          <w:lang w:eastAsia="zh-CN"/>
        </w:rPr>
        <w:t>安阳学院</w:t>
      </w:r>
      <w:r>
        <w:rPr>
          <w:rFonts w:hint="eastAsia" w:ascii="方正小标宋简体" w:eastAsia="方正小标宋简体"/>
          <w:w w:val="98"/>
          <w:sz w:val="44"/>
          <w:szCs w:val="44"/>
        </w:rPr>
        <w:t>教师、学生参加</w:t>
      </w:r>
      <w:r>
        <w:rPr>
          <w:rFonts w:hint="eastAsia" w:ascii="方正小标宋简体" w:eastAsia="方正小标宋简体"/>
          <w:w w:val="98"/>
          <w:sz w:val="44"/>
          <w:szCs w:val="44"/>
          <w:lang w:eastAsia="zh-CN"/>
        </w:rPr>
        <w:t>省级及以上</w:t>
      </w:r>
      <w:r>
        <w:rPr>
          <w:rFonts w:hint="eastAsia" w:ascii="方正小标宋简体" w:eastAsia="方正小标宋简体"/>
          <w:w w:val="98"/>
          <w:sz w:val="44"/>
          <w:szCs w:val="44"/>
        </w:rPr>
        <w:t>各类</w:t>
      </w:r>
      <w:r>
        <w:rPr>
          <w:rFonts w:hint="eastAsia" w:ascii="方正小标宋简体" w:eastAsia="方正小标宋简体"/>
          <w:w w:val="98"/>
          <w:sz w:val="44"/>
          <w:szCs w:val="44"/>
          <w:lang w:eastAsia="zh-CN"/>
        </w:rPr>
        <w:t>学科、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lang w:eastAsia="zh-CN"/>
        </w:rPr>
      </w:pPr>
      <w:r>
        <w:rPr>
          <w:rFonts w:hint="eastAsia" w:ascii="方正小标宋简体" w:eastAsia="方正小标宋简体"/>
          <w:w w:val="98"/>
          <w:sz w:val="44"/>
          <w:szCs w:val="44"/>
          <w:lang w:eastAsia="zh-CN"/>
        </w:rPr>
        <w:t>专业技能</w:t>
      </w:r>
      <w:r>
        <w:rPr>
          <w:rFonts w:hint="eastAsia" w:ascii="方正小标宋简体" w:eastAsia="方正小标宋简体"/>
          <w:w w:val="98"/>
          <w:sz w:val="44"/>
          <w:szCs w:val="44"/>
        </w:rPr>
        <w:t>竞赛奖励办法（</w:t>
      </w:r>
      <w:r>
        <w:rPr>
          <w:rFonts w:hint="eastAsia" w:ascii="方正小标宋简体" w:eastAsia="方正小标宋简体"/>
          <w:w w:val="98"/>
          <w:sz w:val="44"/>
          <w:szCs w:val="44"/>
          <w:lang w:eastAsia="zh-CN"/>
        </w:rPr>
        <w:t>试行</w:t>
      </w:r>
      <w:r>
        <w:rPr>
          <w:rFonts w:hint="eastAsia" w:ascii="方正小标宋简体" w:eastAsia="方正小标宋简体"/>
          <w:w w:val="98"/>
          <w:sz w:val="44"/>
          <w:szCs w:val="44"/>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为更好地贯彻《国家中长期教育改革和发展规划纲要（</w:t>
      </w:r>
      <w:r>
        <w:rPr>
          <w:rFonts w:hint="eastAsia" w:ascii="仿宋_GB2312" w:hAnsi="仿宋_GB2312" w:eastAsia="仿宋_GB2312" w:cs="仿宋_GB2312"/>
          <w:sz w:val="32"/>
          <w:szCs w:val="32"/>
          <w:lang w:val="en-US" w:eastAsia="zh-CN"/>
        </w:rPr>
        <w:t>2010-2020年</w:t>
      </w:r>
      <w:r>
        <w:rPr>
          <w:rFonts w:hint="eastAsia" w:ascii="仿宋_GB2312" w:hAnsi="仿宋_GB2312" w:eastAsia="仿宋_GB2312" w:cs="仿宋_GB2312"/>
          <w:sz w:val="32"/>
          <w:szCs w:val="32"/>
          <w:lang w:eastAsia="zh-CN"/>
        </w:rPr>
        <w:t>）》精神，进一步加强素质教育，促进教师和学生实践能力和创新精神培养，鼓励更多的教师和学生积极参与省级及以上的各类学科专业技能竞赛，不断提高我校总体参赛水平，扩大学校的对外影响，特制订本办法：</w:t>
      </w:r>
    </w:p>
    <w:p>
      <w:pPr>
        <w:keepNext w:val="0"/>
        <w:keepLines w:val="0"/>
        <w:pageBreakBefore w:val="0"/>
        <w:widowControl/>
        <w:kinsoku/>
        <w:wordWrap/>
        <w:overflowPunct/>
        <w:topLinePunct w:val="0"/>
        <w:autoSpaceDE/>
        <w:autoSpaceDN/>
        <w:bidi w:val="0"/>
        <w:adjustRightInd w:val="0"/>
        <w:snapToGrid w:val="0"/>
        <w:spacing w:line="560" w:lineRule="exact"/>
        <w:ind w:firstLine="420"/>
        <w:jc w:val="center"/>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第一条  奖励对象与范围</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（一）奖励对象：我校参加</w:t>
      </w:r>
      <w:r>
        <w:rPr>
          <w:rFonts w:hint="eastAsia" w:ascii="仿宋_GB2312" w:hAnsi="仿宋_GB2312" w:eastAsia="仿宋_GB2312" w:cs="仿宋_GB2312"/>
          <w:sz w:val="32"/>
          <w:szCs w:val="32"/>
          <w:lang w:eastAsia="zh-CN"/>
        </w:rPr>
        <w:t>省级及以上</w:t>
      </w:r>
      <w:r>
        <w:rPr>
          <w:rFonts w:hint="eastAsia" w:ascii="仿宋_GB2312" w:hAnsi="仿宋_GB2312" w:eastAsia="仿宋_GB2312" w:cs="仿宋_GB2312"/>
          <w:sz w:val="32"/>
          <w:szCs w:val="32"/>
        </w:rPr>
        <w:t>各类</w:t>
      </w:r>
      <w:r>
        <w:rPr>
          <w:rFonts w:hint="eastAsia" w:ascii="仿宋_GB2312" w:hAnsi="仿宋_GB2312" w:eastAsia="仿宋_GB2312" w:cs="仿宋_GB2312"/>
          <w:sz w:val="32"/>
          <w:szCs w:val="32"/>
          <w:lang w:eastAsia="zh-CN"/>
        </w:rPr>
        <w:t>学科、专业技能</w:t>
      </w:r>
      <w:r>
        <w:rPr>
          <w:rFonts w:hint="eastAsia" w:ascii="仿宋_GB2312" w:hAnsi="仿宋_GB2312" w:eastAsia="仿宋_GB2312" w:cs="仿宋_GB2312"/>
          <w:sz w:val="32"/>
          <w:szCs w:val="32"/>
        </w:rPr>
        <w:t>竞赛获奖</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教师和学生。</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（二）奖励范围：由国家和省政府相关职能部门或指定机构组织的正式竞赛</w:t>
      </w:r>
      <w:r>
        <w:rPr>
          <w:rFonts w:hint="eastAsia" w:ascii="仿宋_GB2312" w:hAnsi="仿宋_GB2312" w:eastAsia="仿宋_GB2312" w:cs="仿宋_GB2312"/>
          <w:sz w:val="32"/>
          <w:szCs w:val="32"/>
          <w:lang w:eastAsia="zh-CN"/>
        </w:rPr>
        <w:t>（包括学科竞赛、文艺体育竞赛）。</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具体类别有：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国家级A类竞赛：由教育部、信息产业部、科技部、文化部等部委主办的各类全国范围学科竞赛；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国家级B类竞赛：由教育部委托国家级教学指导委员会主办的全国范围的学科竞赛；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国家级C类竞赛：国家级学会（协会）主办的全国范围的学科竞赛；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省级A类竞赛：由省政府、省科技厅、省教育厅或其它相关厅局组织的全省性或跨省区的比赛、学科竞赛；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省级B类竞赛：省级教学指导委员会组织的全省性或跨省区的学科竞赛等；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省级C类竞赛：省级协会（学会）、社团及新闻媒体等举办的、由企业进行赞助或冠名的有较大影响的赛事。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凡是没有明确界定比赛等级或者难以界定比赛等级的项目，按能确定的最低级别执行。</w:t>
      </w:r>
      <w:r>
        <w:rPr>
          <w:rFonts w:hint="eastAsia" w:ascii="仿宋_GB2312" w:hAnsi="仿宋_GB2312" w:eastAsia="仿宋_GB2312" w:cs="仿宋_GB2312"/>
          <w:spacing w:val="-11"/>
          <w:sz w:val="32"/>
          <w:szCs w:val="32"/>
          <w:lang w:val="en-US" w:eastAsia="zh-CN"/>
        </w:rPr>
        <w:t>凡未按学校要求办理审批手续或未经学校批准自行参赛的不予以奖励。</w:t>
      </w:r>
    </w:p>
    <w:p>
      <w:pPr>
        <w:keepNext w:val="0"/>
        <w:keepLines w:val="0"/>
        <w:pageBreakBefore w:val="0"/>
        <w:widowControl/>
        <w:kinsoku/>
        <w:wordWrap/>
        <w:overflowPunct/>
        <w:topLinePunct w:val="0"/>
        <w:autoSpaceDE/>
        <w:autoSpaceDN/>
        <w:bidi w:val="0"/>
        <w:adjustRightInd w:val="0"/>
        <w:snapToGrid w:val="0"/>
        <w:spacing w:line="560" w:lineRule="exact"/>
        <w:ind w:firstLine="420"/>
        <w:jc w:val="center"/>
        <w:textAlignment w:val="auto"/>
        <w:rPr>
          <w:rFonts w:hint="eastAsia" w:ascii="黑体" w:hAnsi="黑体" w:eastAsia="黑体" w:cs="黑体"/>
          <w:bCs/>
          <w:sz w:val="32"/>
          <w:szCs w:val="32"/>
        </w:rPr>
      </w:pPr>
      <w:r>
        <w:rPr>
          <w:rFonts w:hint="eastAsia" w:ascii="黑体" w:hAnsi="黑体" w:eastAsia="黑体" w:cs="黑体"/>
          <w:bCs/>
          <w:sz w:val="32"/>
          <w:szCs w:val="32"/>
        </w:rPr>
        <w:t>第二条  奖励程序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（一）赛前必须履行申报审批手续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代表学校参赛，根据教师、学生所获名次予以相应奖励。</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（二）教师参加各类</w:t>
      </w:r>
      <w:r>
        <w:rPr>
          <w:rFonts w:hint="eastAsia" w:ascii="仿宋_GB2312" w:hAnsi="仿宋_GB2312" w:eastAsia="仿宋_GB2312" w:cs="仿宋_GB2312"/>
          <w:sz w:val="32"/>
          <w:szCs w:val="32"/>
          <w:lang w:eastAsia="zh-CN"/>
        </w:rPr>
        <w:t>学科、专业技能</w:t>
      </w:r>
      <w:r>
        <w:rPr>
          <w:rFonts w:hint="eastAsia" w:ascii="仿宋_GB2312" w:hAnsi="仿宋_GB2312" w:eastAsia="仿宋_GB2312" w:cs="仿宋_GB2312"/>
          <w:sz w:val="32"/>
          <w:szCs w:val="32"/>
        </w:rPr>
        <w:t>竞赛获奖，由获奖教师进行申报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学生参加各类</w:t>
      </w:r>
      <w:r>
        <w:rPr>
          <w:rFonts w:hint="eastAsia" w:ascii="仿宋_GB2312" w:hAnsi="仿宋_GB2312" w:eastAsia="仿宋_GB2312" w:cs="仿宋_GB2312"/>
          <w:sz w:val="32"/>
          <w:szCs w:val="32"/>
          <w:lang w:eastAsia="zh-CN"/>
        </w:rPr>
        <w:t>学科、专业技能</w:t>
      </w:r>
      <w:r>
        <w:rPr>
          <w:rFonts w:hint="eastAsia" w:ascii="仿宋_GB2312" w:hAnsi="仿宋_GB2312" w:eastAsia="仿宋_GB2312" w:cs="仿宋_GB2312"/>
          <w:sz w:val="32"/>
          <w:szCs w:val="32"/>
        </w:rPr>
        <w:t>竞赛获奖，由指导教师进行申报</w:t>
      </w:r>
      <w:r>
        <w:rPr>
          <w:rFonts w:hint="eastAsia" w:ascii="仿宋_GB2312" w:hAnsi="仿宋_GB2312" w:eastAsia="仿宋_GB2312" w:cs="仿宋_GB2312"/>
          <w:sz w:val="32"/>
          <w:szCs w:val="32"/>
          <w:lang w:eastAsia="zh-CN"/>
        </w:rPr>
        <w:t>。申报奖励时均需</w:t>
      </w:r>
      <w:r>
        <w:rPr>
          <w:rFonts w:hint="eastAsia" w:ascii="仿宋_GB2312" w:hAnsi="仿宋_GB2312" w:eastAsia="仿宋_GB2312" w:cs="仿宋_GB2312"/>
          <w:sz w:val="32"/>
          <w:szCs w:val="32"/>
        </w:rPr>
        <w:t>提供竞赛的正式通知</w:t>
      </w:r>
      <w:r>
        <w:rPr>
          <w:rFonts w:hint="eastAsia" w:ascii="仿宋_GB2312" w:hAnsi="仿宋_GB2312" w:eastAsia="仿宋_GB2312" w:cs="仿宋_GB2312"/>
          <w:sz w:val="32"/>
          <w:szCs w:val="32"/>
          <w:lang w:eastAsia="zh-CN"/>
        </w:rPr>
        <w:t>文件</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eastAsia="zh-CN"/>
        </w:rPr>
        <w:t>教师、</w:t>
      </w:r>
      <w:r>
        <w:rPr>
          <w:rFonts w:hint="eastAsia" w:ascii="仿宋_GB2312" w:hAnsi="仿宋_GB2312" w:eastAsia="仿宋_GB2312" w:cs="仿宋_GB2312"/>
          <w:sz w:val="32"/>
          <w:szCs w:val="32"/>
        </w:rPr>
        <w:t>学生获奖证书等相关材料，经由所在单位审核汇总</w:t>
      </w:r>
      <w:r>
        <w:rPr>
          <w:rFonts w:hint="eastAsia" w:ascii="仿宋_GB2312" w:hAnsi="仿宋_GB2312" w:eastAsia="仿宋_GB2312" w:cs="仿宋_GB2312"/>
          <w:sz w:val="32"/>
          <w:szCs w:val="32"/>
          <w:lang w:eastAsia="zh-CN"/>
        </w:rPr>
        <w:t>签字</w:t>
      </w:r>
      <w:r>
        <w:rPr>
          <w:rFonts w:hint="eastAsia" w:ascii="仿宋_GB2312" w:hAnsi="仿宋_GB2312" w:eastAsia="仿宋_GB2312" w:cs="仿宋_GB2312"/>
          <w:sz w:val="32"/>
          <w:szCs w:val="32"/>
        </w:rPr>
        <w:t>后报教务处复核确定。</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highlight w:val="none"/>
        </w:rPr>
      </w:pPr>
      <w:r>
        <w:rPr>
          <w:rFonts w:hint="eastAsia" w:ascii="仿宋_GB2312" w:hAnsi="仿宋_GB2312" w:eastAsia="仿宋_GB2312" w:cs="仿宋_GB2312"/>
          <w:i w:val="0"/>
          <w:caps w:val="0"/>
          <w:color w:val="000000"/>
          <w:spacing w:val="0"/>
          <w:sz w:val="32"/>
          <w:szCs w:val="32"/>
          <w:highlight w:val="none"/>
          <w:lang w:eastAsia="zh-CN"/>
        </w:rPr>
        <w:t>（三）</w:t>
      </w:r>
      <w:r>
        <w:rPr>
          <w:rFonts w:hint="eastAsia" w:ascii="仿宋_GB2312" w:hAnsi="仿宋_GB2312" w:eastAsia="仿宋_GB2312" w:cs="仿宋_GB2312"/>
          <w:i w:val="0"/>
          <w:caps w:val="0"/>
          <w:color w:val="000000"/>
          <w:spacing w:val="0"/>
          <w:sz w:val="32"/>
          <w:szCs w:val="32"/>
          <w:highlight w:val="none"/>
        </w:rPr>
        <w:t>本办法按自然年度实施，学校在每年上半年对上一年度获得</w:t>
      </w:r>
      <w:r>
        <w:rPr>
          <w:rFonts w:hint="eastAsia" w:ascii="仿宋_GB2312" w:hAnsi="仿宋_GB2312" w:eastAsia="仿宋_GB2312" w:cs="仿宋_GB2312"/>
          <w:i w:val="0"/>
          <w:caps w:val="0"/>
          <w:color w:val="000000"/>
          <w:spacing w:val="0"/>
          <w:sz w:val="32"/>
          <w:szCs w:val="32"/>
          <w:highlight w:val="none"/>
          <w:lang w:eastAsia="zh-CN"/>
        </w:rPr>
        <w:t>省级及以上各类</w:t>
      </w:r>
      <w:r>
        <w:rPr>
          <w:rFonts w:hint="eastAsia" w:ascii="仿宋_GB2312" w:hAnsi="仿宋_GB2312" w:eastAsia="仿宋_GB2312" w:cs="仿宋_GB2312"/>
          <w:i w:val="0"/>
          <w:caps w:val="0"/>
          <w:color w:val="000000"/>
          <w:spacing w:val="0"/>
          <w:sz w:val="32"/>
          <w:szCs w:val="32"/>
          <w:highlight w:val="none"/>
        </w:rPr>
        <w:t>学科</w:t>
      </w:r>
      <w:r>
        <w:rPr>
          <w:rFonts w:hint="eastAsia" w:ascii="仿宋_GB2312" w:hAnsi="仿宋_GB2312" w:eastAsia="仿宋_GB2312" w:cs="仿宋_GB2312"/>
          <w:i w:val="0"/>
          <w:caps w:val="0"/>
          <w:color w:val="000000"/>
          <w:spacing w:val="0"/>
          <w:sz w:val="32"/>
          <w:szCs w:val="32"/>
          <w:highlight w:val="none"/>
          <w:lang w:eastAsia="zh-CN"/>
        </w:rPr>
        <w:t>、专业技能</w:t>
      </w:r>
      <w:r>
        <w:rPr>
          <w:rFonts w:hint="eastAsia" w:ascii="仿宋_GB2312" w:hAnsi="仿宋_GB2312" w:eastAsia="仿宋_GB2312" w:cs="仿宋_GB2312"/>
          <w:i w:val="0"/>
          <w:caps w:val="0"/>
          <w:color w:val="000000"/>
          <w:spacing w:val="0"/>
          <w:sz w:val="32"/>
          <w:szCs w:val="32"/>
          <w:highlight w:val="none"/>
        </w:rPr>
        <w:t>竞赛</w:t>
      </w:r>
      <w:r>
        <w:rPr>
          <w:rFonts w:hint="eastAsia" w:ascii="仿宋_GB2312" w:hAnsi="仿宋_GB2312" w:eastAsia="仿宋_GB2312" w:cs="仿宋_GB2312"/>
          <w:i w:val="0"/>
          <w:caps w:val="0"/>
          <w:color w:val="000000"/>
          <w:spacing w:val="0"/>
          <w:sz w:val="32"/>
          <w:szCs w:val="32"/>
          <w:highlight w:val="none"/>
          <w:lang w:eastAsia="zh-CN"/>
        </w:rPr>
        <w:t>获</w:t>
      </w:r>
      <w:r>
        <w:rPr>
          <w:rFonts w:hint="eastAsia" w:ascii="仿宋_GB2312" w:hAnsi="仿宋_GB2312" w:eastAsia="仿宋_GB2312" w:cs="仿宋_GB2312"/>
          <w:i w:val="0"/>
          <w:caps w:val="0"/>
          <w:color w:val="000000"/>
          <w:spacing w:val="0"/>
          <w:sz w:val="32"/>
          <w:szCs w:val="32"/>
          <w:highlight w:val="none"/>
        </w:rPr>
        <w:t>奖的</w:t>
      </w:r>
      <w:r>
        <w:rPr>
          <w:rFonts w:hint="eastAsia" w:ascii="仿宋_GB2312" w:hAnsi="仿宋_GB2312" w:eastAsia="仿宋_GB2312" w:cs="仿宋_GB2312"/>
          <w:i w:val="0"/>
          <w:caps w:val="0"/>
          <w:color w:val="000000"/>
          <w:spacing w:val="0"/>
          <w:sz w:val="32"/>
          <w:szCs w:val="32"/>
          <w:highlight w:val="none"/>
          <w:lang w:eastAsia="zh-CN"/>
        </w:rPr>
        <w:t>教师和学生进行奖励</w:t>
      </w:r>
      <w:r>
        <w:rPr>
          <w:rFonts w:hint="eastAsia" w:ascii="仿宋_GB2312" w:hAnsi="仿宋_GB2312" w:eastAsia="仿宋_GB2312" w:cs="仿宋_GB2312"/>
          <w:i w:val="0"/>
          <w:caps w:val="0"/>
          <w:color w:val="000000"/>
          <w:spacing w:val="0"/>
          <w:sz w:val="32"/>
          <w:szCs w:val="32"/>
          <w:highlight w:val="none"/>
        </w:rPr>
        <w:t>。</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96" w:firstLineChars="200"/>
        <w:textAlignment w:val="auto"/>
        <w:rPr>
          <w:rFonts w:hint="eastAsia" w:ascii="仿宋_GB2312" w:hAnsi="仿宋_GB2312" w:eastAsia="仿宋_GB2312" w:cs="仿宋_GB2312"/>
          <w:i w:val="0"/>
          <w:caps w:val="0"/>
          <w:color w:val="000000"/>
          <w:spacing w:val="-11"/>
          <w:sz w:val="32"/>
          <w:szCs w:val="32"/>
          <w:highlight w:val="none"/>
          <w:lang w:eastAsia="zh-CN"/>
        </w:rPr>
        <w:sectPr>
          <w:headerReference r:id="rId3" w:type="default"/>
          <w:footerReference r:id="rId5" w:type="default"/>
          <w:headerReference r:id="rId4" w:type="even"/>
          <w:footerReference r:id="rId6" w:type="even"/>
          <w:pgSz w:w="11906" w:h="16838"/>
          <w:pgMar w:top="2098" w:right="1474" w:bottom="1984" w:left="1588" w:header="1191" w:footer="992" w:gutter="0"/>
          <w:cols w:space="720" w:num="1"/>
          <w:docGrid w:linePitch="312" w:charSpace="0"/>
        </w:sectPr>
      </w:pPr>
      <w:r>
        <w:rPr>
          <w:rFonts w:hint="eastAsia" w:ascii="仿宋_GB2312" w:hAnsi="仿宋_GB2312" w:eastAsia="仿宋_GB2312" w:cs="仿宋_GB2312"/>
          <w:i w:val="0"/>
          <w:caps w:val="0"/>
          <w:color w:val="000000"/>
          <w:spacing w:val="-11"/>
          <w:sz w:val="32"/>
          <w:szCs w:val="32"/>
          <w:highlight w:val="none"/>
          <w:lang w:eastAsia="zh-CN"/>
        </w:rPr>
        <w:t>（四）此项工作的主管部门为教务处。</w:t>
      </w:r>
    </w:p>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黑体" w:hAnsi="黑体" w:eastAsia="黑体" w:cs="黑体"/>
          <w:bCs/>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eastAsia="zh-CN"/>
        </w:rPr>
        <w:t>三</w:t>
      </w:r>
      <w:r>
        <w:rPr>
          <w:rFonts w:hint="eastAsia" w:ascii="黑体" w:hAnsi="黑体" w:eastAsia="黑体" w:cs="黑体"/>
          <w:bCs/>
          <w:sz w:val="32"/>
          <w:szCs w:val="32"/>
        </w:rPr>
        <w:t>条  奖励标准</w:t>
      </w:r>
    </w:p>
    <w:tbl>
      <w:tblPr>
        <w:tblStyle w:val="6"/>
        <w:tblW w:w="146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40"/>
        <w:gridCol w:w="2400"/>
        <w:gridCol w:w="6440"/>
        <w:gridCol w:w="1170"/>
        <w:gridCol w:w="1050"/>
        <w:gridCol w:w="1110"/>
        <w:gridCol w:w="1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Header/>
          <w:jc w:val="center"/>
        </w:trPr>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竞赛级别</w:t>
            </w:r>
          </w:p>
        </w:tc>
        <w:tc>
          <w:tcPr>
            <w:tcW w:w="24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范围</w:t>
            </w:r>
          </w:p>
        </w:tc>
        <w:tc>
          <w:tcPr>
            <w:tcW w:w="6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竞赛名称</w:t>
            </w: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获奖级别</w:t>
            </w:r>
          </w:p>
        </w:tc>
        <w:tc>
          <w:tcPr>
            <w:tcW w:w="320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奖励标准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5" w:hRule="atLeast"/>
          <w:tblHeader/>
          <w:jc w:val="center"/>
        </w:trPr>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4"/>
                <w:szCs w:val="24"/>
                <w:u w:val="none"/>
              </w:rPr>
            </w:pPr>
          </w:p>
        </w:tc>
        <w:tc>
          <w:tcPr>
            <w:tcW w:w="24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4"/>
                <w:szCs w:val="24"/>
                <w:u w:val="none"/>
              </w:rPr>
            </w:pPr>
          </w:p>
        </w:tc>
        <w:tc>
          <w:tcPr>
            <w:tcW w:w="64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教师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学生</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个人赛</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学生</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团队赛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国家级A类</w:t>
            </w:r>
          </w:p>
        </w:tc>
        <w:tc>
          <w:tcPr>
            <w:tcW w:w="24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由教育部、信息产业部、科技部、文化部等部委主办的各类全国范围学科竞赛</w:t>
            </w:r>
          </w:p>
        </w:tc>
        <w:tc>
          <w:tcPr>
            <w:tcW w:w="6440" w:type="dxa"/>
            <w:vMerge w:val="restar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1、全国大学生电子设计竞赛（主办单位：教育部、信息产业部）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2、全国职业院校技能大赛（主办单位：教育部）</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一等奖</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highlight w:val="none"/>
                <w:u w:val="none"/>
                <w:lang w:val="en-US" w:eastAsia="zh-CN" w:bidi="ar"/>
              </w:rPr>
              <w:t>3000</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44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二等奖</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44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三等奖</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国家级B类</w:t>
            </w:r>
          </w:p>
        </w:tc>
        <w:tc>
          <w:tcPr>
            <w:tcW w:w="24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由教育部委托国家级教学指导委员会主办的全国范围的学科竞赛</w:t>
            </w:r>
          </w:p>
        </w:tc>
        <w:tc>
          <w:tcPr>
            <w:tcW w:w="6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1、全国大学生机械创新设计大赛（主办单位：教育部高等学校机械学科教学指导委员会）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2、中国大学生计算机设计大赛（主办单位：教育部高等学校计算机类专业教学指导委员会）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3、全国大学生工业设计大赛（主办单位：教育部高等学校工业设计专业教学指导分委员会）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4、全国大学生物流设计大赛（主办单位：教育部高等学校物流专业教学指导委员会）</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5、全国大学生数学建模竞赛（主办单位：中国工业与应用数学学会）</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一等奖</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0"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4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二等奖</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4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三等奖</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jc w:val="center"/>
        </w:trPr>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国家级C类</w:t>
            </w:r>
          </w:p>
        </w:tc>
        <w:tc>
          <w:tcPr>
            <w:tcW w:w="24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国家级学会（协会）主办的全国范围的学科竞赛</w:t>
            </w:r>
          </w:p>
        </w:tc>
        <w:tc>
          <w:tcPr>
            <w:tcW w:w="6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1、全国师范院校师范生教学技能竞赛（主办单位：全国地方高等师范院校教务处长联席会）</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2、“中国电机工程学会杯”全国大学生电工数学建模竞赛（主办单位：中国电机工程学会电工数学专委会）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3、中国高等院校设计艺术大赛（主办单位：中国高等教育学会设计教育专业委员会）</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一等奖</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800</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4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二等奖</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1000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4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三等奖</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800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300</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省级A类</w:t>
            </w:r>
          </w:p>
        </w:tc>
        <w:tc>
          <w:tcPr>
            <w:tcW w:w="24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省政府、省科技厅或省教育厅组织的全省性或跨省区的比赛或学科竞赛</w:t>
            </w:r>
          </w:p>
        </w:tc>
        <w:tc>
          <w:tcPr>
            <w:tcW w:w="6440" w:type="dxa"/>
            <w:vMerge w:val="restar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numPr>
                <w:ilvl w:val="0"/>
                <w:numId w:val="1"/>
              </w:numPr>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全国职业院校技能大赛高职组河南赛区（1-12主办单位均为河南省教育厅）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2、全国大学生工业设计大赛河南赛区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3、全国大学生数学建模竞赛河南赛区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4、河南省职业院校技能大赛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5、河南省高等学校师范教育专业毕业生教学技能比赛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6、河南省“互联网+”大学生创新创业大赛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7、河南省学生“阳光”体育荷球锦标赛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8、创意河南艺术设计大赛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9、河南省大学生艺术展演活动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10、河南省教育系统教学技能竞赛</w:t>
            </w:r>
          </w:p>
          <w:p>
            <w:pPr>
              <w:keepNext w:val="0"/>
              <w:keepLines w:val="0"/>
              <w:widowControl/>
              <w:numPr>
                <w:ilvl w:val="0"/>
                <w:numId w:val="0"/>
              </w:numPr>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11、河南省大学生科技文化艺术节</w:t>
            </w:r>
          </w:p>
          <w:p>
            <w:pPr>
              <w:keepNext w:val="0"/>
              <w:keepLines w:val="0"/>
              <w:widowControl/>
              <w:numPr>
                <w:ilvl w:val="0"/>
                <w:numId w:val="0"/>
              </w:numPr>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12、“挑战杯”河南省大学生课外学术科技作品竞赛</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一等奖</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1500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800</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2"/>
                <w:szCs w:val="22"/>
                <w:u w:val="none"/>
              </w:rPr>
            </w:pPr>
          </w:p>
        </w:tc>
        <w:tc>
          <w:tcPr>
            <w:tcW w:w="644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二等奖</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800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400</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2"/>
                <w:szCs w:val="22"/>
                <w:u w:val="none"/>
              </w:rPr>
            </w:pPr>
          </w:p>
        </w:tc>
        <w:tc>
          <w:tcPr>
            <w:tcW w:w="644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三等奖</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200</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36" w:hRule="atLeast"/>
          <w:jc w:val="center"/>
        </w:trPr>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省级B类</w:t>
            </w:r>
          </w:p>
        </w:tc>
        <w:tc>
          <w:tcPr>
            <w:tcW w:w="24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由省级教学指导委员会组织的全省性或跨省区的学科竞赛等；</w:t>
            </w:r>
          </w:p>
        </w:tc>
        <w:tc>
          <w:tcPr>
            <w:tcW w:w="6440" w:type="dxa"/>
            <w:vMerge w:val="restar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numPr>
                <w:ilvl w:val="0"/>
                <w:numId w:val="2"/>
              </w:numPr>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中国大学生计算机设计大赛河南赛区（主办单位：河南省高等学校计算机教育研究会）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2、河南省少数民族传统体育运动会（主办单位：河南省民委、河南省体育局）</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3、全国啦啦操联赛**站（主办单位：国家体育总局体操运动管理中心主办）</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4、河南省大学生力学竞赛（主办单位：河南省力学学会）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5、河南省美术新人新作展（主办单位：河南省美术家协会）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6、河南省水彩粉画展（主办单位：河南省美术家协会）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7、“百蝶杯”河南省大学生物流仿真大赛（主办单位：中国物流生产力促进中心、河南省物流协会）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8、“中青杯”全国大学生数学建模竞赛（主办单位：中青杯全国大学生数学建模竞赛组委会、吉林省科技教育学会）</w:t>
            </w:r>
          </w:p>
          <w:p>
            <w:pPr>
              <w:keepNext w:val="0"/>
              <w:keepLines w:val="0"/>
              <w:widowControl/>
              <w:numPr>
                <w:ilvl w:val="0"/>
                <w:numId w:val="0"/>
              </w:numPr>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9、全国大学生数学竞赛河南赛区（中国数学会普及工作委员会、河南数学会）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10、“新道杯”全国大学生会计信息化技能大赛决赛（主办单位：工业和信息化部人才交流中心）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11、“学创杯”大学生创业综合模拟大赛（高等学校国家级实验教学示范中心联席会经济与管理学科组）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12、“外研社杯”全国英语大赛决赛（演讲、写作、阅读）（主办单位：外语教学与研究出版社）</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一等奖</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200</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1"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44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二等奖</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150</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1"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44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三等奖</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0" w:hRule="atLeast"/>
          <w:jc w:val="center"/>
        </w:trPr>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省级C类</w:t>
            </w:r>
          </w:p>
        </w:tc>
        <w:tc>
          <w:tcPr>
            <w:tcW w:w="24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省级以上协会（学会）、社团及新闻媒体等举办的、由企业进行赞助或冠名的各类赛事</w:t>
            </w:r>
          </w:p>
        </w:tc>
        <w:tc>
          <w:tcPr>
            <w:tcW w:w="6440" w:type="dxa"/>
            <w:vMerge w:val="restar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numPr>
                <w:ilvl w:val="0"/>
                <w:numId w:val="3"/>
              </w:numPr>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“中华会计网校杯”全国校园财会大赛（主办单位：中华会计网校）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2、“学创杯”大学生创业综合模拟大赛河南省赛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3、“外研社杯”全国英语大赛**赛区（演讲、写作、阅读）（主办单位：外语教学与研究出版社）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4、“新道杯”全国大学生会计信息化技能大赛河南省赛（主办单位：工业和信息化部人才交流中心）</w:t>
            </w:r>
          </w:p>
          <w:p>
            <w:pPr>
              <w:keepNext w:val="0"/>
              <w:keepLines w:val="0"/>
              <w:widowControl/>
              <w:numPr>
                <w:ilvl w:val="0"/>
                <w:numId w:val="0"/>
              </w:numPr>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5、“央音”全国青少年艺术展演活动河南省赛（主办单位：中央音乐学院现代远程音乐教育学院）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6、普译奖全国大学生英语写作大赛（主办单位：我爱竞赛网）</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一等奖</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100</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0"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44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二等奖</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80</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1"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44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三等奖</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80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50</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80</w:t>
            </w:r>
          </w:p>
        </w:tc>
      </w:tr>
    </w:tbl>
    <w:p>
      <w:pPr>
        <w:keepNext w:val="0"/>
        <w:keepLines w:val="0"/>
        <w:pageBreakBefore w:val="0"/>
        <w:widowControl/>
        <w:kinsoku/>
        <w:wordWrap/>
        <w:overflowPunct/>
        <w:topLinePunct w:val="0"/>
        <w:autoSpaceDE/>
        <w:autoSpaceDN/>
        <w:bidi w:val="0"/>
        <w:adjustRightInd/>
        <w:snapToGrid w:val="0"/>
        <w:spacing w:line="360" w:lineRule="auto"/>
        <w:ind w:firstLine="298" w:firstLineChars="100"/>
        <w:textAlignment w:val="auto"/>
        <w:rPr>
          <w:rFonts w:hint="eastAsia" w:ascii="仿宋" w:hAnsi="仿宋" w:eastAsia="仿宋"/>
          <w:spacing w:val="-11"/>
          <w:sz w:val="32"/>
          <w:szCs w:val="32"/>
        </w:rPr>
        <w:sectPr>
          <w:pgSz w:w="16838" w:h="11906" w:orient="landscape"/>
          <w:pgMar w:top="1588" w:right="2098" w:bottom="1474" w:left="1984" w:header="851" w:footer="992" w:gutter="0"/>
          <w:cols w:space="720" w:num="1"/>
          <w:docGrid w:linePitch="312" w:charSpace="0"/>
        </w:sect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lang w:eastAsia="zh-CN"/>
        </w:rPr>
        <w:t>第四条</w:t>
      </w:r>
      <w:r>
        <w:rPr>
          <w:rFonts w:hint="eastAsia" w:ascii="黑体" w:hAnsi="黑体" w:eastAsia="黑体" w:cs="黑体"/>
          <w:bCs/>
          <w:sz w:val="32"/>
          <w:szCs w:val="32"/>
          <w:highlight w:val="none"/>
        </w:rPr>
        <w:t xml:space="preserve"> 其它说明</w:t>
      </w:r>
    </w:p>
    <w:p>
      <w:pPr>
        <w:keepNext w:val="0"/>
        <w:keepLines w:val="0"/>
        <w:pageBreakBefore w:val="0"/>
        <w:numPr>
          <w:ilvl w:val="0"/>
          <w:numId w:val="4"/>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获奖文件和证书原件由参赛师生持有，但须向学校申请登记，同时提交获奖文件和证书的电子扫描件与纸质复印件给教务处。</w:t>
      </w:r>
    </w:p>
    <w:p>
      <w:pPr>
        <w:keepNext w:val="0"/>
        <w:keepLines w:val="0"/>
        <w:pageBreakBefore w:val="0"/>
        <w:numPr>
          <w:ilvl w:val="0"/>
          <w:numId w:val="4"/>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按参赛项目发放奖金，多位指导教师指导同一项目获奖，奖金由第一指导教师负责分配。</w:t>
      </w:r>
    </w:p>
    <w:p>
      <w:pPr>
        <w:keepNext w:val="0"/>
        <w:keepLines w:val="0"/>
        <w:pageBreakBefore w:val="0"/>
        <w:numPr>
          <w:ilvl w:val="0"/>
          <w:numId w:val="4"/>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获奖的时间及奖励等次的认定以主办单位的发文或者学生获奖证书为准。获奖等级如果设置为特等奖、一等奖、二等奖、三等奖的，仅奖励特等奖、一等奖和二等奖，并按获特等奖对应上表中一等奖标准进行奖励，获一等奖对应表中二等奖，依次类推进行奖励。</w:t>
      </w:r>
    </w:p>
    <w:p>
      <w:pPr>
        <w:keepNext w:val="0"/>
        <w:keepLines w:val="0"/>
        <w:pageBreakBefore w:val="0"/>
        <w:numPr>
          <w:ilvl w:val="0"/>
          <w:numId w:val="4"/>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同一作品或同一参赛队</w:t>
      </w:r>
      <w:r>
        <w:rPr>
          <w:rFonts w:hint="eastAsia" w:ascii="仿宋_GB2312" w:hAnsi="仿宋_GB2312" w:eastAsia="仿宋_GB2312" w:cs="仿宋_GB2312"/>
          <w:sz w:val="32"/>
          <w:szCs w:val="32"/>
          <w:lang w:eastAsia="zh-CN"/>
        </w:rPr>
        <w:t>（个人）</w:t>
      </w:r>
      <w:r>
        <w:rPr>
          <w:rFonts w:hint="eastAsia" w:ascii="仿宋_GB2312" w:hAnsi="仿宋_GB2312" w:eastAsia="仿宋_GB2312" w:cs="仿宋_GB2312"/>
          <w:sz w:val="32"/>
          <w:szCs w:val="32"/>
        </w:rPr>
        <w:t>多次获奖的，按最高级别给予奖励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在同一届赛事中，同一教师指导的多个参赛队获</w:t>
      </w:r>
      <w:r>
        <w:rPr>
          <w:rFonts w:hint="eastAsia" w:ascii="仿宋_GB2312" w:hAnsi="仿宋_GB2312" w:eastAsia="仿宋_GB2312" w:cs="仿宋_GB2312"/>
          <w:spacing w:val="-11"/>
          <w:sz w:val="32"/>
          <w:szCs w:val="32"/>
        </w:rPr>
        <w:t>奖时，按其指导参赛队获得的前三项最好名次给予奖励；</w:t>
      </w:r>
      <w:r>
        <w:rPr>
          <w:rFonts w:hint="eastAsia" w:ascii="仿宋_GB2312" w:hAnsi="仿宋_GB2312" w:eastAsia="仿宋_GB2312" w:cs="仿宋_GB2312"/>
          <w:spacing w:val="-11"/>
          <w:sz w:val="32"/>
          <w:szCs w:val="32"/>
          <w:lang w:eastAsia="zh-CN"/>
        </w:rPr>
        <w:t>代表学校参加由政府部门举办的综合性运动会或艺术类竞赛获奖的除外。</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）团体赛学生参赛人数5人及以上 ，其奖金按团体赛的1.5倍计，参赛人数10人及以上 ，其奖金按团体赛的2倍计。</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对竞赛级别持有异议的由校学术委员会或相关专家和校领导组成的评议组进行复议。</w:t>
      </w:r>
    </w:p>
    <w:p>
      <w:pPr>
        <w:keepNext w:val="0"/>
        <w:keepLines w:val="0"/>
        <w:pageBreakBefore w:val="0"/>
        <w:widowControl/>
        <w:kinsoku/>
        <w:wordWrap/>
        <w:overflowPunct/>
        <w:topLinePunct w:val="0"/>
        <w:autoSpaceDE/>
        <w:autoSpaceDN/>
        <w:bidi w:val="0"/>
        <w:adjustRightInd w:val="0"/>
        <w:snapToGrid w:val="0"/>
        <w:spacing w:line="560" w:lineRule="exact"/>
        <w:ind w:firstLine="420"/>
        <w:jc w:val="center"/>
        <w:textAlignment w:val="auto"/>
        <w:rPr>
          <w:rFonts w:hint="eastAsia" w:ascii="黑体" w:hAnsi="黑体" w:eastAsia="黑体" w:cs="黑体"/>
          <w:bCs/>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eastAsia="zh-CN"/>
        </w:rPr>
        <w:t>五</w:t>
      </w:r>
      <w:r>
        <w:rPr>
          <w:rFonts w:hint="eastAsia" w:ascii="黑体" w:hAnsi="黑体" w:eastAsia="黑体" w:cs="黑体"/>
          <w:bCs/>
          <w:sz w:val="32"/>
          <w:szCs w:val="32"/>
        </w:rPr>
        <w:t>条</w:t>
      </w:r>
    </w:p>
    <w:p>
      <w:pPr>
        <w:keepNext w:val="0"/>
        <w:keepLines w:val="0"/>
        <w:pageBreakBefore w:val="0"/>
        <w:widowControl/>
        <w:kinsoku/>
        <w:wordWrap/>
        <w:overflowPunct/>
        <w:topLinePunct w:val="0"/>
        <w:autoSpaceDE/>
        <w:autoSpaceDN/>
        <w:bidi w:val="0"/>
        <w:adjustRightInd w:val="0"/>
        <w:snapToGrid w:val="0"/>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本办法自</w:t>
      </w:r>
      <w:r>
        <w:rPr>
          <w:rFonts w:hint="eastAsia" w:ascii="仿宋_GB2312" w:hAnsi="仿宋_GB2312" w:eastAsia="仿宋_GB2312" w:cs="仿宋_GB2312"/>
          <w:sz w:val="32"/>
          <w:szCs w:val="32"/>
          <w:lang w:eastAsia="zh-CN"/>
        </w:rPr>
        <w:t>发布之日起</w:t>
      </w:r>
      <w:r>
        <w:rPr>
          <w:rFonts w:hint="eastAsia" w:ascii="仿宋_GB2312" w:hAnsi="仿宋_GB2312" w:eastAsia="仿宋_GB2312" w:cs="仿宋_GB2312"/>
          <w:sz w:val="32"/>
          <w:szCs w:val="32"/>
        </w:rPr>
        <w:t>执行，</w:t>
      </w:r>
      <w:r>
        <w:rPr>
          <w:rFonts w:hint="eastAsia" w:ascii="仿宋_GB2312" w:hAnsi="仿宋_GB2312" w:eastAsia="仿宋_GB2312" w:cs="仿宋_GB2312"/>
          <w:sz w:val="32"/>
          <w:szCs w:val="32"/>
          <w:lang w:eastAsia="zh-CN"/>
        </w:rPr>
        <w:t>原相关文件同时废止。</w:t>
      </w:r>
    </w:p>
    <w:p>
      <w:pPr>
        <w:pStyle w:val="18"/>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sz w:val="32"/>
          <w:szCs w:val="32"/>
          <w:lang w:val="en-US"/>
        </w:rPr>
      </w:pPr>
    </w:p>
    <w:p>
      <w:pPr>
        <w:pStyle w:val="18"/>
        <w:keepNext w:val="0"/>
        <w:keepLines w:val="0"/>
        <w:pageBreakBefore w:val="0"/>
        <w:widowControl/>
        <w:kinsoku/>
        <w:wordWrap/>
        <w:overflowPunct/>
        <w:topLinePunct w:val="0"/>
        <w:autoSpaceDE/>
        <w:autoSpaceDN/>
        <w:bidi w:val="0"/>
        <w:adjustRightInd w:val="0"/>
        <w:snapToGrid w:val="0"/>
        <w:spacing w:line="420" w:lineRule="exact"/>
        <w:ind w:right="632"/>
        <w:jc w:val="both"/>
        <w:textAlignment w:val="auto"/>
        <w:rPr>
          <w:rFonts w:hint="eastAsia" w:ascii="仿宋_GB2312" w:hAnsi="仿宋_GB2312" w:eastAsia="仿宋_GB2312" w:cs="仿宋_GB2312"/>
          <w:sz w:val="32"/>
          <w:szCs w:val="32"/>
          <w:lang w:eastAsia="zh-CN"/>
        </w:rPr>
      </w:pPr>
      <w:bookmarkStart w:id="0" w:name="_GoBack"/>
      <w:bookmarkEnd w:id="0"/>
    </w:p>
    <w:sectPr>
      <w:footerReference r:id="rId7"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397" w:line="0" w:lineRule="atLeast"/>
      <w:ind w:right="210" w:rightChars="100"/>
      <w:jc w:val="right"/>
      <w:rPr>
        <w:sz w:val="28"/>
        <w:szCs w:val="28"/>
      </w:rPr>
    </w:pPr>
    <w:r>
      <w:rPr>
        <w:rFonts w:hint="eastAsia"/>
        <w:sz w:val="28"/>
        <w:szCs w:val="28"/>
      </w:rPr>
      <w:t>—</w:t>
    </w:r>
    <w:r>
      <w:rPr>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 PAGE </w:instrText>
    </w:r>
    <w:r>
      <w:rPr>
        <w:rFonts w:ascii="宋体" w:hAnsi="宋体"/>
        <w:sz w:val="28"/>
        <w:szCs w:val="28"/>
      </w:rPr>
      <w:fldChar w:fldCharType="separate"/>
    </w:r>
    <w:r>
      <w:rPr>
        <w:rStyle w:val="9"/>
        <w:rFonts w:ascii="宋体" w:hAnsi="宋体"/>
        <w:sz w:val="28"/>
        <w:szCs w:val="28"/>
      </w:rPr>
      <w:t>11</w:t>
    </w:r>
    <w:r>
      <w:rPr>
        <w:rFonts w:ascii="宋体" w:hAnsi="宋体"/>
        <w:sz w:val="28"/>
        <w:szCs w:val="28"/>
      </w:rPr>
      <w:fldChar w:fldCharType="end"/>
    </w:r>
    <w:r>
      <w:rPr>
        <w:rFonts w:hint="eastAsia" w:ascii="宋体" w:hAnsi="宋体"/>
        <w:sz w:val="28"/>
        <w:szCs w:val="28"/>
      </w:rPr>
      <w:t xml:space="preserve"> </w:t>
    </w:r>
    <w:r>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397" w:line="0" w:lineRule="atLeast"/>
      <w:ind w:left="210" w:leftChars="100"/>
      <w:rPr>
        <w:sz w:val="28"/>
        <w:szCs w:val="28"/>
      </w:rPr>
    </w:pPr>
    <w:r>
      <w:rPr>
        <w:rFonts w:hint="eastAsia"/>
        <w:sz w:val="28"/>
        <w:szCs w:val="28"/>
      </w:rPr>
      <w:t>—</w:t>
    </w:r>
    <w:r>
      <w:rPr>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 PAGE </w:instrText>
    </w:r>
    <w:r>
      <w:rPr>
        <w:rFonts w:ascii="宋体" w:hAnsi="宋体"/>
        <w:sz w:val="28"/>
        <w:szCs w:val="28"/>
      </w:rPr>
      <w:fldChar w:fldCharType="separate"/>
    </w:r>
    <w:r>
      <w:rPr>
        <w:rStyle w:val="9"/>
        <w:rFonts w:ascii="宋体" w:hAnsi="宋体"/>
        <w:sz w:val="28"/>
        <w:szCs w:val="28"/>
      </w:rPr>
      <w:t>10</w:t>
    </w:r>
    <w:r>
      <w:rPr>
        <w:rFonts w:ascii="宋体" w:hAnsi="宋体"/>
        <w:sz w:val="28"/>
        <w:szCs w:val="28"/>
      </w:rPr>
      <w:fldChar w:fldCharType="end"/>
    </w:r>
    <w:r>
      <w:rPr>
        <w:rFonts w:hint="eastAsia" w:ascii="宋体" w:hAnsi="宋体"/>
        <w:sz w:val="28"/>
        <w:szCs w:val="28"/>
      </w:rPr>
      <w:t xml:space="preserve"> </w:t>
    </w:r>
    <w:r>
      <w:rPr>
        <w:rFonts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10D7F8"/>
    <w:multiLevelType w:val="singleLevel"/>
    <w:tmpl w:val="B110D7F8"/>
    <w:lvl w:ilvl="0" w:tentative="0">
      <w:start w:val="1"/>
      <w:numFmt w:val="decimal"/>
      <w:suff w:val="nothing"/>
      <w:lvlText w:val="%1、"/>
      <w:lvlJc w:val="left"/>
    </w:lvl>
  </w:abstractNum>
  <w:abstractNum w:abstractNumId="1">
    <w:nsid w:val="C2BD30C7"/>
    <w:multiLevelType w:val="singleLevel"/>
    <w:tmpl w:val="C2BD30C7"/>
    <w:lvl w:ilvl="0" w:tentative="0">
      <w:start w:val="1"/>
      <w:numFmt w:val="decimal"/>
      <w:suff w:val="nothing"/>
      <w:lvlText w:val="%1、"/>
      <w:lvlJc w:val="left"/>
    </w:lvl>
  </w:abstractNum>
  <w:abstractNum w:abstractNumId="2">
    <w:nsid w:val="D260FC67"/>
    <w:multiLevelType w:val="singleLevel"/>
    <w:tmpl w:val="D260FC67"/>
    <w:lvl w:ilvl="0" w:tentative="0">
      <w:start w:val="1"/>
      <w:numFmt w:val="chineseCounting"/>
      <w:suff w:val="nothing"/>
      <w:lvlText w:val="（%1）"/>
      <w:lvlJc w:val="left"/>
      <w:rPr>
        <w:rFonts w:hint="eastAsia"/>
      </w:rPr>
    </w:lvl>
  </w:abstractNum>
  <w:abstractNum w:abstractNumId="3">
    <w:nsid w:val="F1AA9522"/>
    <w:multiLevelType w:val="singleLevel"/>
    <w:tmpl w:val="F1AA9522"/>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MTI2MWIwMGRiM2RkNzJkMjQxNWRlNzRjZmJiOWMifQ=="/>
  </w:docVars>
  <w:rsids>
    <w:rsidRoot w:val="1C92511D"/>
    <w:rsid w:val="000F31B4"/>
    <w:rsid w:val="002E15A5"/>
    <w:rsid w:val="00504D28"/>
    <w:rsid w:val="005567F4"/>
    <w:rsid w:val="00560241"/>
    <w:rsid w:val="00A7664B"/>
    <w:rsid w:val="00B6307C"/>
    <w:rsid w:val="00CF1BE4"/>
    <w:rsid w:val="00F1150C"/>
    <w:rsid w:val="012F5093"/>
    <w:rsid w:val="09A93277"/>
    <w:rsid w:val="0D076D09"/>
    <w:rsid w:val="0D5E0208"/>
    <w:rsid w:val="0E4032D6"/>
    <w:rsid w:val="0E565D19"/>
    <w:rsid w:val="171B04FB"/>
    <w:rsid w:val="17494011"/>
    <w:rsid w:val="1C92511D"/>
    <w:rsid w:val="1C994576"/>
    <w:rsid w:val="1D3E402E"/>
    <w:rsid w:val="20816925"/>
    <w:rsid w:val="209A0A02"/>
    <w:rsid w:val="21BE6363"/>
    <w:rsid w:val="22233596"/>
    <w:rsid w:val="2EE46133"/>
    <w:rsid w:val="39D50E92"/>
    <w:rsid w:val="3BF02090"/>
    <w:rsid w:val="40D33A65"/>
    <w:rsid w:val="434000B5"/>
    <w:rsid w:val="44A62D10"/>
    <w:rsid w:val="44E50C8D"/>
    <w:rsid w:val="45AA3413"/>
    <w:rsid w:val="4620045D"/>
    <w:rsid w:val="465158E1"/>
    <w:rsid w:val="48A57EC2"/>
    <w:rsid w:val="48FC218D"/>
    <w:rsid w:val="4C08607E"/>
    <w:rsid w:val="4D841918"/>
    <w:rsid w:val="52BA0C81"/>
    <w:rsid w:val="561A37DD"/>
    <w:rsid w:val="568D16B4"/>
    <w:rsid w:val="58F469ED"/>
    <w:rsid w:val="5BC423FA"/>
    <w:rsid w:val="5FCF7212"/>
    <w:rsid w:val="65111F48"/>
    <w:rsid w:val="6F065309"/>
    <w:rsid w:val="702A67B8"/>
    <w:rsid w:val="78775AF4"/>
    <w:rsid w:val="7A7C0618"/>
    <w:rsid w:val="7DBD0445"/>
    <w:rsid w:val="7E7976C0"/>
    <w:rsid w:val="7E7A1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jc w:val="center"/>
      <w:outlineLvl w:val="1"/>
    </w:pPr>
    <w:rPr>
      <w:rFonts w:eastAsia="华文中宋"/>
      <w:sz w:val="44"/>
      <w:szCs w:val="32"/>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FollowedHyperlink"/>
    <w:basedOn w:val="8"/>
    <w:qFormat/>
    <w:uiPriority w:val="0"/>
    <w:rPr>
      <w:color w:val="1669B4"/>
      <w:u w:val="none"/>
    </w:rPr>
  </w:style>
  <w:style w:type="character" w:styleId="11">
    <w:name w:val="Hyperlink"/>
    <w:basedOn w:val="8"/>
    <w:qFormat/>
    <w:uiPriority w:val="0"/>
    <w:rPr>
      <w:color w:val="1669B4"/>
      <w:u w:val="none"/>
    </w:rPr>
  </w:style>
  <w:style w:type="character" w:customStyle="1" w:styleId="12">
    <w:name w:val="页眉 Char"/>
    <w:basedOn w:val="8"/>
    <w:link w:val="5"/>
    <w:qFormat/>
    <w:uiPriority w:val="0"/>
    <w:rPr>
      <w:kern w:val="2"/>
      <w:sz w:val="18"/>
      <w:szCs w:val="18"/>
    </w:rPr>
  </w:style>
  <w:style w:type="character" w:customStyle="1" w:styleId="13">
    <w:name w:val="页脚 Char"/>
    <w:basedOn w:val="8"/>
    <w:link w:val="4"/>
    <w:qFormat/>
    <w:uiPriority w:val="0"/>
    <w:rPr>
      <w:kern w:val="2"/>
      <w:sz w:val="18"/>
      <w:szCs w:val="18"/>
    </w:rPr>
  </w:style>
  <w:style w:type="character" w:customStyle="1" w:styleId="14">
    <w:name w:val="ssmc"/>
    <w:basedOn w:val="8"/>
    <w:qFormat/>
    <w:uiPriority w:val="0"/>
  </w:style>
  <w:style w:type="character" w:customStyle="1" w:styleId="15">
    <w:name w:val="numblist"/>
    <w:basedOn w:val="8"/>
    <w:qFormat/>
    <w:uiPriority w:val="0"/>
  </w:style>
  <w:style w:type="character" w:customStyle="1" w:styleId="16">
    <w:name w:val="att_txt"/>
    <w:basedOn w:val="8"/>
    <w:qFormat/>
    <w:uiPriority w:val="0"/>
    <w:rPr>
      <w:color w:val="0000FF"/>
      <w:sz w:val="20"/>
      <w:szCs w:val="20"/>
    </w:rPr>
  </w:style>
  <w:style w:type="character" w:customStyle="1" w:styleId="17">
    <w:name w:val="att_txt_red"/>
    <w:basedOn w:val="8"/>
    <w:qFormat/>
    <w:uiPriority w:val="0"/>
    <w:rPr>
      <w:color w:val="FF0000"/>
      <w:sz w:val="20"/>
      <w:szCs w:val="20"/>
    </w:rPr>
  </w:style>
  <w:style w:type="paragraph" w:customStyle="1" w:styleId="18">
    <w:name w:val="无间隔1"/>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2856</Words>
  <Characters>3009</Characters>
  <Lines>1</Lines>
  <Paragraphs>1</Paragraphs>
  <TotalTime>13</TotalTime>
  <ScaleCrop>false</ScaleCrop>
  <LinksUpToDate>false</LinksUpToDate>
  <CharactersWithSpaces>3040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2017-11-21T08:29:00Z</dcterms:created>
  <dc:creator>王永国</dc:creator>
  <cp:lastModifiedBy>22</cp:lastModifiedBy>
  <cp:lastPrinted>2018-07-09T08:21:00Z</cp:lastPrinted>
  <dcterms:modified xsi:type="dcterms:W3CDTF">2023-04-20T06:50:15Z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F2495B3DAAC2438C9B4D90E5C433A7E8</vt:lpwstr>
  </property>
</Properties>
</file>