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Cs/>
        </w:rPr>
      </w:pPr>
      <w:bookmarkStart w:id="0" w:name="_GoBack"/>
      <w:bookmarkEnd w:id="0"/>
      <w:r>
        <w:rPr>
          <w:rFonts w:hint="eastAsia"/>
          <w:bCs/>
        </w:rPr>
        <w:t>附件3：</w:t>
      </w:r>
    </w:p>
    <w:p>
      <w:pPr>
        <w:spacing w:line="360" w:lineRule="auto"/>
        <w:rPr>
          <w:bCs/>
        </w:rPr>
      </w:pPr>
      <w:r>
        <w:drawing>
          <wp:anchor distT="0" distB="0" distL="0" distR="0" simplePos="0" relativeHeight="251659264" behindDoc="0" locked="0" layoutInCell="1" allowOverlap="1">
            <wp:simplePos x="0" y="0"/>
            <wp:positionH relativeFrom="page">
              <wp:posOffset>1141095</wp:posOffset>
            </wp:positionH>
            <wp:positionV relativeFrom="paragraph">
              <wp:posOffset>441325</wp:posOffset>
            </wp:positionV>
            <wp:extent cx="5198110" cy="2952115"/>
            <wp:effectExtent l="0" t="0" r="2540" b="127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198400" cy="2952000"/>
                    </a:xfrm>
                    <a:prstGeom prst="rect">
                      <a:avLst/>
                    </a:prstGeom>
                  </pic:spPr>
                </pic:pic>
              </a:graphicData>
            </a:graphic>
          </wp:anchor>
        </w:drawing>
      </w:r>
      <w:r>
        <w:rPr>
          <w:rFonts w:hint="eastAsia"/>
          <w:bCs/>
        </w:rPr>
        <w:t>一、平台基本架构</w:t>
      </w:r>
    </w:p>
    <w:p>
      <w:pPr>
        <w:rPr>
          <w:bCs/>
        </w:rPr>
      </w:pPr>
      <w:r>
        <w:drawing>
          <wp:anchor distT="0" distB="0" distL="0" distR="0" simplePos="0" relativeHeight="251660288" behindDoc="0" locked="0" layoutInCell="1" allowOverlap="0">
            <wp:simplePos x="0" y="0"/>
            <wp:positionH relativeFrom="page">
              <wp:posOffset>1143000</wp:posOffset>
            </wp:positionH>
            <wp:positionV relativeFrom="paragraph">
              <wp:posOffset>3401695</wp:posOffset>
            </wp:positionV>
            <wp:extent cx="5241290" cy="2051685"/>
            <wp:effectExtent l="0" t="0" r="0" b="571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5241600" cy="2052000"/>
                    </a:xfrm>
                    <a:prstGeom prst="rect">
                      <a:avLst/>
                    </a:prstGeom>
                  </pic:spPr>
                </pic:pic>
              </a:graphicData>
            </a:graphic>
          </wp:anchor>
        </w:drawing>
      </w:r>
      <w:r>
        <w:rPr>
          <w:rFonts w:hint="eastAsia"/>
          <w:bCs/>
        </w:rPr>
        <w:t>二、平台运营流程</w:t>
      </w:r>
    </w:p>
    <w:p>
      <w:pPr>
        <w:rPr>
          <w:bCs/>
        </w:rPr>
      </w:pPr>
      <w:r>
        <w:rPr>
          <w:rFonts w:hint="eastAsia"/>
          <w:bCs/>
        </w:rPr>
        <w:t>三、总经办须知</w:t>
      </w:r>
    </w:p>
    <w:p>
      <w:pPr>
        <w:rPr>
          <w:bCs/>
        </w:rPr>
      </w:pPr>
      <w:r>
        <w:rPr>
          <w:rFonts w:hint="eastAsia"/>
          <w:bCs/>
        </w:rPr>
        <w:t>1、关于公司筹建</w:t>
      </w:r>
    </w:p>
    <w:p>
      <w:pPr>
        <w:ind w:firstLine="420" w:firstLineChars="200"/>
        <w:rPr>
          <w:bCs/>
        </w:rPr>
      </w:pPr>
      <w:r>
        <w:rPr>
          <w:rFonts w:hint="eastAsia"/>
          <w:bCs/>
        </w:rPr>
        <w:t>公司筹建阶段主要进行公司正式运营前的各项筹备工作，还未开始正式运营，为设定公平竞争环境，筹备阶段可用资金为系统设定数，不能贷款，原材料单价系统设定为 1.5 元，研发投入系统设定为至少 50 万（保证产品能够顺利研发出来，达到合格产品的要求），生产线、原材料、员工工资、招聘费、培训费、研发投入等所有投资之和不能超过系统设定数值（数值为 650 万）。筹建期即为第 0 季。</w:t>
      </w:r>
    </w:p>
    <w:p>
      <w:pPr>
        <w:rPr>
          <w:bCs/>
        </w:rPr>
      </w:pPr>
      <w:r>
        <w:rPr>
          <w:rFonts w:hint="eastAsia"/>
          <w:bCs/>
        </w:rPr>
        <w:t>2、关于公司破产</w:t>
      </w:r>
    </w:p>
    <w:p>
      <w:pPr>
        <w:ind w:firstLine="420" w:firstLineChars="200"/>
        <w:rPr>
          <w:bCs/>
        </w:rPr>
      </w:pPr>
      <w:r>
        <w:rPr>
          <w:rFonts w:hint="eastAsia"/>
          <w:bCs/>
        </w:rPr>
        <w:t>系统设定当公司负债/所有者权益大于等于 10 时，公司宣告破产，原则上不得继续开展公司运营。</w:t>
      </w:r>
    </w:p>
    <w:p>
      <w:pPr>
        <w:rPr>
          <w:bCs/>
        </w:rPr>
      </w:pPr>
      <w:r>
        <w:rPr>
          <w:rFonts w:hint="eastAsia"/>
          <w:bCs/>
        </w:rPr>
        <w:t>3、关于经营净现值</w:t>
      </w:r>
    </w:p>
    <w:p>
      <w:pPr>
        <w:spacing w:line="360" w:lineRule="auto"/>
        <w:ind w:firstLine="420" w:firstLineChars="200"/>
        <w:rPr>
          <w:bCs/>
        </w:rPr>
      </w:pPr>
      <w:r>
        <w:rPr>
          <w:rFonts w:hint="eastAsia"/>
          <w:bCs/>
        </w:rPr>
        <w:t>系统采用了国际惯用的财务管理指标经营净现值（英文名 Net Present Value，简称 NPV）来衡量公司一定周期内的经营绩效。</w:t>
      </w:r>
    </w:p>
    <w:p>
      <w:pPr>
        <w:spacing w:line="360" w:lineRule="auto"/>
        <w:rPr>
          <w:bCs/>
        </w:rPr>
      </w:pPr>
      <w:r>
        <w:drawing>
          <wp:anchor distT="0" distB="0" distL="0" distR="0" simplePos="0" relativeHeight="251661312" behindDoc="0" locked="0" layoutInCell="1" allowOverlap="1">
            <wp:simplePos x="0" y="0"/>
            <wp:positionH relativeFrom="page">
              <wp:posOffset>1141095</wp:posOffset>
            </wp:positionH>
            <wp:positionV relativeFrom="paragraph">
              <wp:posOffset>1905</wp:posOffset>
            </wp:positionV>
            <wp:extent cx="4118610" cy="353060"/>
            <wp:effectExtent l="0" t="0" r="0" b="952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4118400" cy="352800"/>
                    </a:xfrm>
                    <a:prstGeom prst="rect">
                      <a:avLst/>
                    </a:prstGeom>
                  </pic:spPr>
                </pic:pic>
              </a:graphicData>
            </a:graphic>
          </wp:anchor>
        </w:drawing>
      </w:r>
      <w:r>
        <w:rPr>
          <w:rFonts w:hint="eastAsia"/>
          <w:bCs/>
        </w:rPr>
        <w:t>其中，k 表示折现率，由指导教师根据具体情况设置，n 表示经营季度数。四、市场部须知</w:t>
      </w:r>
    </w:p>
    <w:p>
      <w:pPr>
        <w:spacing w:line="360" w:lineRule="auto"/>
        <w:rPr>
          <w:bCs/>
        </w:rPr>
      </w:pPr>
      <w:r>
        <w:rPr>
          <w:rFonts w:hint="eastAsia"/>
          <w:bCs/>
        </w:rPr>
        <w:t>1、关于招投标</w:t>
      </w:r>
    </w:p>
    <w:p>
      <w:pPr>
        <w:spacing w:line="360" w:lineRule="auto"/>
        <w:ind w:firstLine="420" w:firstLineChars="200"/>
        <w:rPr>
          <w:bCs/>
        </w:rPr>
      </w:pPr>
      <w:r>
        <w:rPr>
          <w:rFonts w:hint="eastAsia"/>
          <w:bCs/>
        </w:rPr>
        <w:t>1）</w:t>
      </w:r>
      <w:r>
        <w:rPr>
          <w:rFonts w:hint="eastAsia"/>
          <w:bCs/>
        </w:rPr>
        <w:tab/>
      </w:r>
      <w:r>
        <w:rPr>
          <w:rFonts w:hint="eastAsia"/>
          <w:bCs/>
        </w:rPr>
        <w:t>中标订单量为某市场的中标订单量等于该市场中标的各个采购需求之和。</w:t>
      </w:r>
    </w:p>
    <w:p>
      <w:pPr>
        <w:spacing w:line="360" w:lineRule="auto"/>
        <w:ind w:firstLine="420" w:firstLineChars="200"/>
        <w:rPr>
          <w:bCs/>
        </w:rPr>
      </w:pPr>
      <w:r>
        <w:rPr>
          <w:rFonts w:hint="eastAsia"/>
          <w:bCs/>
        </w:rPr>
        <w:t>2）</w:t>
      </w:r>
      <w:r>
        <w:rPr>
          <w:rFonts w:hint="eastAsia"/>
          <w:bCs/>
        </w:rPr>
        <w:tab/>
      </w:r>
      <w:r>
        <w:rPr>
          <w:rFonts w:hint="eastAsia"/>
          <w:bCs/>
        </w:rPr>
        <w:t>招投标销量：当某市场产品投放量和库存量大于等于中标订单量时，招投标销量等于中标订单量，剩余产品满足零售渠道的销售:当某市场产品投放量和库存量小于中标订单量时，招投标销量等于能够满足的中标订单量之和， 按照中标的时间先后顺序满足中标订单。</w:t>
      </w:r>
    </w:p>
    <w:p>
      <w:pPr>
        <w:spacing w:line="360" w:lineRule="auto"/>
        <w:ind w:firstLine="420" w:firstLineChars="200"/>
        <w:rPr>
          <w:bCs/>
        </w:rPr>
      </w:pPr>
      <w:r>
        <w:rPr>
          <w:rFonts w:hint="eastAsia"/>
          <w:bCs/>
        </w:rPr>
        <w:t>3）</w:t>
      </w:r>
      <w:r>
        <w:rPr>
          <w:rFonts w:hint="eastAsia"/>
          <w:bCs/>
        </w:rPr>
        <w:tab/>
      </w:r>
      <w:r>
        <w:rPr>
          <w:rFonts w:hint="eastAsia"/>
          <w:bCs/>
        </w:rPr>
        <w:t>订单违约：当某市场产品投放量和库存量小于中标订单量时，则发生违约行为，扣除相应订单的履约保证金， 同时下一季不能在该市场参与投标活动。</w:t>
      </w:r>
    </w:p>
    <w:p>
      <w:pPr>
        <w:spacing w:line="360" w:lineRule="auto"/>
        <w:ind w:firstLine="420" w:firstLineChars="200"/>
        <w:rPr>
          <w:bCs/>
        </w:rPr>
      </w:pPr>
      <w:r>
        <w:rPr>
          <w:rFonts w:hint="eastAsia"/>
          <w:bCs/>
        </w:rPr>
        <w:t>4）</w:t>
      </w:r>
      <w:r>
        <w:rPr>
          <w:rFonts w:hint="eastAsia"/>
          <w:bCs/>
        </w:rPr>
        <w:tab/>
      </w:r>
      <w:r>
        <w:rPr>
          <w:rFonts w:hint="eastAsia"/>
          <w:bCs/>
        </w:rPr>
        <w:t>招投标费用：每参加一次招投标会产生相应费用，如：购买标书费、标书打印费、交通费、劳务费等，招投标费用按照一次 1000 元计算。投标保证金一般按照招标项目采购预算金额的 2%收取。履约保证金一般按照中标合同金额的 10%收取。</w:t>
      </w:r>
    </w:p>
    <w:p>
      <w:pPr>
        <w:spacing w:line="360" w:lineRule="auto"/>
        <w:rPr>
          <w:bCs/>
        </w:rPr>
      </w:pPr>
      <w:r>
        <w:rPr>
          <w:rFonts w:hint="eastAsia"/>
          <w:bCs/>
        </w:rPr>
        <w:t>2、关于定价</w:t>
      </w:r>
    </w:p>
    <w:p>
      <w:pPr>
        <w:spacing w:line="360" w:lineRule="auto"/>
        <w:ind w:firstLine="420" w:firstLineChars="200"/>
        <w:rPr>
          <w:bCs/>
        </w:rPr>
      </w:pPr>
      <w:r>
        <w:rPr>
          <w:rFonts w:hint="eastAsia"/>
          <w:bCs/>
        </w:rPr>
        <w:t>系统设定产品价格区间，在此区间范围内，产品可以自主定价，一般来讲，价格越高，市场需求越小，价格越低， 市场需求越大。本次系统设定的价格区间为[5 元，9 元]。</w:t>
      </w:r>
    </w:p>
    <w:p>
      <w:pPr>
        <w:spacing w:line="360" w:lineRule="auto"/>
        <w:rPr>
          <w:bCs/>
        </w:rPr>
      </w:pPr>
      <w:r>
        <w:rPr>
          <w:rFonts w:hint="eastAsia"/>
          <w:bCs/>
        </w:rPr>
        <w:t>3、关于营销投入</w:t>
      </w:r>
    </w:p>
    <w:p>
      <w:pPr>
        <w:spacing w:line="360" w:lineRule="auto"/>
        <w:ind w:firstLine="420" w:firstLineChars="200"/>
        <w:rPr>
          <w:bCs/>
        </w:rPr>
      </w:pPr>
      <w:r>
        <w:rPr>
          <w:rFonts w:hint="eastAsia"/>
          <w:bCs/>
        </w:rPr>
        <w:t>投入营销费用可以提高品牌知名度，费用投入遵循边际效用递减规律。一般来讲，产品品牌知名度越高，市场需求越大，产品品牌知名度越低，市场需求越小。营销费用存在一定的递延效果，80%的营销效果在本季产生，20%的营销效果则在下一季产生。</w:t>
      </w:r>
    </w:p>
    <w:p>
      <w:pPr>
        <w:spacing w:line="360" w:lineRule="auto"/>
        <w:rPr>
          <w:bCs/>
        </w:rPr>
      </w:pPr>
      <w:r>
        <w:rPr>
          <w:rFonts w:hint="eastAsia"/>
          <w:bCs/>
        </w:rPr>
        <w:t>4、关于销售量</w:t>
      </w:r>
    </w:p>
    <w:p>
      <w:pPr>
        <w:spacing w:line="360" w:lineRule="auto"/>
        <w:ind w:firstLine="420" w:firstLineChars="200"/>
        <w:rPr>
          <w:bCs/>
        </w:rPr>
      </w:pPr>
      <w:r>
        <w:rPr>
          <w:rFonts w:hint="eastAsia"/>
          <w:bCs/>
        </w:rPr>
        <w:t>销售量大小取决于三个方面:市场需求量、实际产品投放量和库存量、客服人员数量。本季销售总量等于各个市场的销量之和。</w:t>
      </w:r>
    </w:p>
    <w:p>
      <w:pPr>
        <w:spacing w:line="360" w:lineRule="auto"/>
        <w:rPr>
          <w:bCs/>
        </w:rPr>
      </w:pPr>
      <w:r>
        <w:rPr>
          <w:rFonts w:hint="eastAsia"/>
          <w:bCs/>
        </w:rPr>
        <w:t>5、关于市场占有率</w:t>
      </w:r>
    </w:p>
    <w:p>
      <w:pPr>
        <w:spacing w:line="360" w:lineRule="auto"/>
        <w:ind w:firstLine="420" w:firstLineChars="200"/>
        <w:rPr>
          <w:bCs/>
        </w:rPr>
      </w:pPr>
      <w:r>
        <w:rPr>
          <w:rFonts w:hint="eastAsia"/>
          <w:bCs/>
        </w:rPr>
        <w:t>市场占有率分为各公司总的市场占有率和各公司各市场的市场占有率，按照销量计算。上季市场占有率对本季市场需求量有影响，上季市场占有率越高，本季市场需求量将会越多，反之越少。</w:t>
      </w:r>
    </w:p>
    <w:p>
      <w:pPr>
        <w:spacing w:line="360" w:lineRule="auto"/>
        <w:rPr>
          <w:bCs/>
        </w:rPr>
      </w:pPr>
      <w:r>
        <w:rPr>
          <w:rFonts w:hint="eastAsia"/>
          <w:bCs/>
        </w:rPr>
        <w:t>6、关于经济增长指数</w:t>
      </w:r>
    </w:p>
    <w:p>
      <w:pPr>
        <w:spacing w:line="360" w:lineRule="auto"/>
        <w:ind w:firstLine="420" w:firstLineChars="200"/>
        <w:rPr>
          <w:bCs/>
        </w:rPr>
      </w:pPr>
      <w:r>
        <w:rPr>
          <w:rFonts w:hint="eastAsia"/>
          <w:bCs/>
        </w:rPr>
        <w:t>经济增长指数越高，说明经济环境越好，市场购买力越强，市场需求量相应越大。反之亦然。</w:t>
      </w:r>
    </w:p>
    <w:p>
      <w:pPr>
        <w:spacing w:line="360" w:lineRule="auto"/>
        <w:rPr>
          <w:bCs/>
        </w:rPr>
      </w:pPr>
      <w:r>
        <w:rPr>
          <w:rFonts w:hint="eastAsia"/>
          <w:bCs/>
        </w:rPr>
        <w:t>7、关于物价指数</w:t>
      </w:r>
    </w:p>
    <w:p>
      <w:pPr>
        <w:spacing w:line="360" w:lineRule="auto"/>
        <w:ind w:firstLine="420" w:firstLineChars="200"/>
        <w:rPr>
          <w:bCs/>
        </w:rPr>
      </w:pPr>
      <w:r>
        <w:rPr>
          <w:rFonts w:hint="eastAsia"/>
          <w:bCs/>
        </w:rPr>
        <w:t>消费者物价指数越高，说明市场物价越高，将会影响消费者的购买热情，市场购买力下降，市场需求量相应减少。反之亦然。</w:t>
      </w:r>
    </w:p>
    <w:p>
      <w:pPr>
        <w:spacing w:line="360" w:lineRule="auto"/>
        <w:rPr>
          <w:bCs/>
        </w:rPr>
      </w:pPr>
      <w:r>
        <w:rPr>
          <w:rFonts w:hint="eastAsia"/>
          <w:bCs/>
        </w:rPr>
        <w:t>8、关于季节指数</w:t>
      </w:r>
    </w:p>
    <w:p>
      <w:pPr>
        <w:spacing w:line="360" w:lineRule="auto"/>
        <w:ind w:firstLine="420" w:firstLineChars="200"/>
        <w:rPr>
          <w:bCs/>
        </w:rPr>
      </w:pPr>
      <w:r>
        <w:rPr>
          <w:rFonts w:hint="eastAsia"/>
          <w:bCs/>
        </w:rPr>
        <w:t>季节指数越高，说明该季节越是销售的旺季，市场购买力越强，市场需求量相应越大。反之亦然。</w:t>
      </w:r>
    </w:p>
    <w:p>
      <w:pPr>
        <w:spacing w:line="360" w:lineRule="auto"/>
        <w:rPr>
          <w:bCs/>
        </w:rPr>
      </w:pPr>
      <w:r>
        <w:rPr>
          <w:rFonts w:hint="eastAsia"/>
          <w:bCs/>
        </w:rPr>
        <w:t>9、关于产品生命周期</w:t>
      </w:r>
    </w:p>
    <w:p>
      <w:pPr>
        <w:spacing w:line="360" w:lineRule="auto"/>
        <w:ind w:firstLine="420" w:firstLineChars="200"/>
        <w:rPr>
          <w:bCs/>
        </w:rPr>
      </w:pPr>
      <w:r>
        <w:rPr>
          <w:rFonts w:hint="eastAsia"/>
          <w:bCs/>
        </w:rPr>
        <w:t>产品生命周期分为:导入、成长、成熟和衰退四个阶段。按成长快慢分为:高成长，中成长，低成长。产品生命周期指数越高，说明产品越成熟，市场购买力越强，市场需求量相应越大。反之亦然。</w:t>
      </w:r>
    </w:p>
    <w:p>
      <w:pPr>
        <w:spacing w:line="360" w:lineRule="auto"/>
        <w:rPr>
          <w:bCs/>
        </w:rPr>
      </w:pPr>
      <w:r>
        <w:rPr>
          <w:rFonts w:hint="eastAsia"/>
          <w:bCs/>
        </w:rPr>
        <w:t>五、采购部须知</w:t>
      </w:r>
    </w:p>
    <w:p>
      <w:pPr>
        <w:spacing w:line="360" w:lineRule="auto"/>
        <w:rPr>
          <w:bCs/>
        </w:rPr>
      </w:pPr>
      <w:r>
        <w:rPr>
          <w:rFonts w:hint="eastAsia"/>
          <w:bCs/>
        </w:rPr>
        <w:t>1、关于原材料采购成本</w:t>
      </w:r>
    </w:p>
    <w:p>
      <w:pPr>
        <w:spacing w:line="360" w:lineRule="auto"/>
        <w:ind w:firstLine="420" w:firstLineChars="200"/>
        <w:rPr>
          <w:bCs/>
        </w:rPr>
      </w:pPr>
      <w:r>
        <w:rPr>
          <w:rFonts w:hint="eastAsia"/>
          <w:bCs/>
        </w:rPr>
        <w:t>原材料购买是一个商品交易过程，包括选择供应商、商务洽谈、签订买卖合同、物流发货等，因此当季购买的原材料当季不能使用，下季才能使用。原材料价格不是一直不变的，它受市场供求关系的影响不断发生波动，筹备期原材料的初始价格为 1. 5 元；如果当季缺少原材料可非正常采购，但是非正常采购原材料的成本较高，每个原材料在</w:t>
      </w:r>
    </w:p>
    <w:p>
      <w:pPr>
        <w:spacing w:line="360" w:lineRule="auto"/>
        <w:rPr>
          <w:bCs/>
        </w:rPr>
      </w:pPr>
      <w:r>
        <w:rPr>
          <w:rFonts w:hint="eastAsia"/>
          <w:bCs/>
        </w:rPr>
        <w:t>当前市场价格的基础上需要额外支付费用 1.0 元，非正常采购的原材料当季可以使用。</w:t>
      </w:r>
    </w:p>
    <w:p>
      <w:pPr>
        <w:spacing w:line="360" w:lineRule="auto"/>
        <w:rPr>
          <w:bCs/>
        </w:rPr>
      </w:pPr>
      <w:r>
        <w:rPr>
          <w:rFonts w:hint="eastAsia"/>
          <w:bCs/>
        </w:rPr>
        <w:t>2、关于原材料采购产生费用</w:t>
      </w:r>
    </w:p>
    <w:p>
      <w:pPr>
        <w:spacing w:line="360" w:lineRule="auto"/>
        <w:ind w:firstLine="420" w:firstLineChars="200"/>
        <w:rPr>
          <w:bCs/>
        </w:rPr>
      </w:pPr>
      <w:r>
        <w:rPr>
          <w:rFonts w:hint="eastAsia"/>
          <w:bCs/>
        </w:rPr>
        <w:t>订购原材料过程中会产生订购手续费、运费等相关费用</w:t>
      </w:r>
    </w:p>
    <w:p>
      <w:pPr>
        <w:spacing w:line="360" w:lineRule="auto"/>
        <w:ind w:firstLine="420" w:firstLineChars="200"/>
        <w:rPr>
          <w:bCs/>
        </w:rPr>
      </w:pPr>
      <w:r>
        <w:rPr>
          <w:rFonts w:hint="eastAsia"/>
          <w:bCs/>
        </w:rPr>
        <w:t>原材料订购数量 1-500,000 单位，产生 40,000 元费用；原材料订购数量 500,001-1,000,000 单位，产生 80,000 元费用；</w:t>
      </w:r>
    </w:p>
    <w:p>
      <w:pPr>
        <w:spacing w:line="360" w:lineRule="auto"/>
        <w:ind w:firstLine="420" w:firstLineChars="200"/>
        <w:rPr>
          <w:bCs/>
        </w:rPr>
      </w:pPr>
      <w:r>
        <w:rPr>
          <w:rFonts w:hint="eastAsia"/>
          <w:bCs/>
        </w:rPr>
        <w:t>原材料订购数量 1,000,001-1,500,000 单位，产生 120,000 元费用；原材料订购数量 1,500,001-2,000,000 单位，产生160,000 元费用；原材料订购数量 2,000,001 单位以上，产生 200,000 元费用。</w:t>
      </w:r>
    </w:p>
    <w:p>
      <w:pPr>
        <w:spacing w:line="360" w:lineRule="auto"/>
        <w:rPr>
          <w:bCs/>
        </w:rPr>
      </w:pPr>
      <w:r>
        <w:rPr>
          <w:rFonts w:hint="eastAsia"/>
          <w:bCs/>
        </w:rPr>
        <w:t>3、关于生产线成本</w:t>
      </w:r>
    </w:p>
    <w:p>
      <w:pPr>
        <w:spacing w:line="360" w:lineRule="auto"/>
        <w:ind w:firstLine="420" w:firstLineChars="200"/>
        <w:rPr>
          <w:bCs/>
        </w:rPr>
      </w:pPr>
      <w:r>
        <w:rPr>
          <w:rFonts w:hint="eastAsia"/>
          <w:bCs/>
        </w:rPr>
        <w:t>生产线购买是一个商品交易过程，包括选择供应商、商务洽谈、签订买卖合同、物流发货等，因此当季购买的生产设备当季不能使用，下季才能使用。从第一季开始，每次购买生产线的投资支出不能超过所有者权益的 1/3，系统设定每条新生产线费用为 50 万。</w:t>
      </w:r>
    </w:p>
    <w:p>
      <w:pPr>
        <w:spacing w:line="360" w:lineRule="auto"/>
        <w:rPr>
          <w:bCs/>
        </w:rPr>
      </w:pPr>
      <w:r>
        <w:rPr>
          <w:rFonts w:hint="eastAsia"/>
          <w:bCs/>
        </w:rPr>
        <w:t>4、关于生产线维护费用</w:t>
      </w:r>
    </w:p>
    <w:p>
      <w:pPr>
        <w:spacing w:line="360" w:lineRule="auto"/>
        <w:ind w:firstLine="420" w:firstLineChars="200"/>
        <w:rPr>
          <w:bCs/>
        </w:rPr>
      </w:pPr>
      <w:r>
        <w:rPr>
          <w:rFonts w:hint="eastAsia"/>
          <w:bCs/>
        </w:rPr>
        <w:t>为保证生产线正常运行，会产生日常维修、保养等维护费用。按照生产线数量来计算，生产设备维护费用=单条生产线维护费用×生产线数量，系统设定单条生产线维护费用=12000 元。</w:t>
      </w:r>
    </w:p>
    <w:p>
      <w:pPr>
        <w:spacing w:line="360" w:lineRule="auto"/>
        <w:rPr>
          <w:bCs/>
        </w:rPr>
      </w:pPr>
      <w:r>
        <w:rPr>
          <w:rFonts w:hint="eastAsia"/>
          <w:bCs/>
        </w:rPr>
        <w:t>5、关于生产线订购过程中产生的费用</w:t>
      </w:r>
    </w:p>
    <w:p>
      <w:pPr>
        <w:spacing w:line="360" w:lineRule="auto"/>
        <w:ind w:firstLine="420" w:firstLineChars="200"/>
        <w:rPr>
          <w:bCs/>
        </w:rPr>
      </w:pPr>
      <w:r>
        <w:rPr>
          <w:rFonts w:hint="eastAsia"/>
          <w:bCs/>
        </w:rPr>
        <w:t>购买生产线所产生的相关费用 （包含运费、保险费、安装调试费等费用）。按照生产线数量计算订购费用，单条生产线订购费用为 10 万元。</w:t>
      </w:r>
    </w:p>
    <w:p>
      <w:pPr>
        <w:spacing w:line="360" w:lineRule="auto"/>
        <w:rPr>
          <w:bCs/>
        </w:rPr>
      </w:pPr>
      <w:r>
        <w:rPr>
          <w:rFonts w:hint="eastAsia"/>
          <w:bCs/>
        </w:rPr>
        <w:t>六、生产研发部须知</w:t>
      </w:r>
    </w:p>
    <w:p>
      <w:pPr>
        <w:spacing w:line="360" w:lineRule="auto"/>
        <w:rPr>
          <w:bCs/>
        </w:rPr>
      </w:pPr>
      <w:r>
        <w:rPr>
          <w:rFonts w:hint="eastAsia"/>
          <w:bCs/>
        </w:rPr>
        <w:t>1、关于实际生产量</w:t>
      </w:r>
    </w:p>
    <w:p>
      <w:pPr>
        <w:spacing w:line="360" w:lineRule="auto"/>
        <w:ind w:firstLine="420" w:firstLineChars="200"/>
        <w:rPr>
          <w:bCs/>
        </w:rPr>
      </w:pPr>
      <w:r>
        <w:rPr>
          <w:rFonts w:hint="eastAsia"/>
          <w:bCs/>
        </w:rPr>
        <w:t>实际生产量大小取决于三个方面:生产线数量(产能)、技术工人数量和原材料数量(原材料库存)。每条新生产线在生产周期内每天按照一个班次能生产的产品数量为 5 万，生产一个产品需要 1. 35 个原材料。生产线使用一整季后， 每季产能会在之前的基础上减少 2.5%。</w:t>
      </w:r>
    </w:p>
    <w:p>
      <w:pPr>
        <w:spacing w:line="360" w:lineRule="auto"/>
        <w:rPr>
          <w:bCs/>
        </w:rPr>
      </w:pPr>
      <w:r>
        <w:rPr>
          <w:rFonts w:hint="eastAsia"/>
          <w:bCs/>
        </w:rPr>
        <w:t>2、关于产能和实际产能</w:t>
      </w:r>
    </w:p>
    <w:p>
      <w:pPr>
        <w:spacing w:line="360" w:lineRule="auto"/>
        <w:ind w:firstLine="420" w:firstLineChars="200"/>
        <w:rPr>
          <w:bCs/>
        </w:rPr>
      </w:pPr>
      <w:r>
        <w:rPr>
          <w:rFonts w:hint="eastAsia"/>
          <w:bCs/>
        </w:rPr>
        <w:t>产能指在一个生产周期内所有生产线一天工作 8 小时(一个班次)的生产量。实际产能指在考虑技术工人和生产线的匹配后，可启用生产线的产能，实际产能=产能× (可启用的生产线数/生产线总数)。</w:t>
      </w:r>
    </w:p>
    <w:p>
      <w:pPr>
        <w:spacing w:line="360" w:lineRule="auto"/>
        <w:rPr>
          <w:bCs/>
        </w:rPr>
      </w:pPr>
      <w:r>
        <w:rPr>
          <w:rFonts w:hint="eastAsia"/>
          <w:bCs/>
        </w:rPr>
        <w:t>3、关于生产排班</w:t>
      </w:r>
    </w:p>
    <w:p>
      <w:pPr>
        <w:spacing w:line="360" w:lineRule="auto"/>
        <w:ind w:firstLine="420" w:firstLineChars="200"/>
        <w:rPr>
          <w:bCs/>
        </w:rPr>
      </w:pPr>
      <w:r>
        <w:rPr>
          <w:rFonts w:hint="eastAsia"/>
          <w:bCs/>
        </w:rPr>
        <w:t>产品采用轮班制方式进行生产，即 3 个生产班次（白班、中班、夜班）轮流生产。白班工作时间为 8:00-16:00，中班工作时间为 16:00-24:00，夜班工作时间为 00:00-8:00。各个班次的管理费用和人工费用不同。</w:t>
      </w:r>
    </w:p>
    <w:p>
      <w:pPr>
        <w:spacing w:line="360" w:lineRule="auto"/>
        <w:rPr>
          <w:bCs/>
        </w:rPr>
      </w:pPr>
      <w:r>
        <w:rPr>
          <w:rFonts w:hint="eastAsia"/>
          <w:bCs/>
        </w:rPr>
        <w:t>4、关于生产加班</w:t>
      </w:r>
    </w:p>
    <w:p>
      <w:pPr>
        <w:spacing w:line="360" w:lineRule="auto"/>
        <w:ind w:firstLine="420" w:firstLineChars="200"/>
        <w:rPr>
          <w:bCs/>
        </w:rPr>
      </w:pPr>
      <w:r>
        <w:rPr>
          <w:rFonts w:hint="eastAsia"/>
          <w:bCs/>
        </w:rPr>
        <w:t>系统设定每个班次的正常工作时间都是 8 个小时，若 1 个班次生产无法完成生产任务，可以加班，但是加班时间最多 4 个小时，夜班不允许再加班。如果加班超过 4 个小时，则加班取消，需要另外启动下一个班次进行生产。产品生产时，如果启动 2 个班次(白班、中班)，则第一个班次无需加班；如果启动 3 个班次(白班、中班和夜班)，则各个班次都无需加班。生产部门可以按照市场需求开展大规模生产，但是每天最多只能按照 3 个班次轮流生产，在生产周期内最大生产量为产能的 3 倍。</w:t>
      </w:r>
    </w:p>
    <w:p>
      <w:pPr>
        <w:spacing w:line="360" w:lineRule="auto"/>
        <w:rPr>
          <w:bCs/>
        </w:rPr>
      </w:pPr>
      <w:r>
        <w:rPr>
          <w:rFonts w:hint="eastAsia"/>
          <w:bCs/>
        </w:rPr>
        <w:t>5、关于研发投入</w:t>
      </w:r>
    </w:p>
    <w:p>
      <w:pPr>
        <w:spacing w:line="360" w:lineRule="auto"/>
        <w:ind w:firstLine="420" w:firstLineChars="200"/>
        <w:rPr>
          <w:bCs/>
        </w:rPr>
      </w:pPr>
      <w:r>
        <w:rPr>
          <w:rFonts w:hint="eastAsia"/>
          <w:bCs/>
        </w:rPr>
        <w:t>研发投入包括产品设计、制造工艺流程、部品检验流程、管理流程等内容。投入研发费用可以提高产品质量，费用投入遵循边际效用递减规律。一般来讲，产品质量水平越高，市场需求越大，产品质量水平越低，市场需求越小。研发费用存在递延效果，20%的研发效果在本季产生，80%的研发效果则在下一季产生。</w:t>
      </w:r>
    </w:p>
    <w:p>
      <w:pPr>
        <w:spacing w:line="360" w:lineRule="auto"/>
        <w:rPr>
          <w:bCs/>
        </w:rPr>
      </w:pPr>
      <w:r>
        <w:rPr>
          <w:rFonts w:hint="eastAsia"/>
          <w:bCs/>
        </w:rPr>
        <w:t>七、物流部须知</w:t>
      </w:r>
    </w:p>
    <w:p>
      <w:pPr>
        <w:spacing w:line="360" w:lineRule="auto"/>
        <w:rPr>
          <w:bCs/>
        </w:rPr>
      </w:pPr>
      <w:r>
        <w:rPr>
          <w:rFonts w:hint="eastAsia"/>
          <w:bCs/>
        </w:rPr>
        <w:t>1、关于计划生产量和市场投放量</w:t>
      </w:r>
    </w:p>
    <w:p>
      <w:pPr>
        <w:spacing w:line="360" w:lineRule="auto"/>
        <w:ind w:firstLine="420" w:firstLineChars="200"/>
        <w:rPr>
          <w:bCs/>
        </w:rPr>
      </w:pPr>
      <w:r>
        <w:rPr>
          <w:rFonts w:hint="eastAsia"/>
          <w:bCs/>
        </w:rPr>
        <w:t>公司运营过程中，产品通过物流部投放到各个市场。各个市场的投放量总和与计划生产量相等。产品可能形成存货， 在财务报表中，产成品存货价值修正=上季产成品存货价值-本季产成品存货价值。为保管产成品会发生成本，产成品库存持有成本=0.5×季末产成品存货数量。</w:t>
      </w:r>
    </w:p>
    <w:p>
      <w:pPr>
        <w:spacing w:line="360" w:lineRule="auto"/>
        <w:rPr>
          <w:bCs/>
        </w:rPr>
      </w:pPr>
      <w:r>
        <w:rPr>
          <w:rFonts w:hint="eastAsia"/>
          <w:bCs/>
        </w:rPr>
        <w:t>2、关于产品紧急调拨</w:t>
      </w:r>
    </w:p>
    <w:p>
      <w:pPr>
        <w:spacing w:line="360" w:lineRule="auto"/>
        <w:ind w:firstLine="420" w:firstLineChars="200"/>
        <w:rPr>
          <w:bCs/>
        </w:rPr>
      </w:pPr>
      <w:r>
        <w:rPr>
          <w:rFonts w:hint="eastAsia"/>
          <w:bCs/>
        </w:rPr>
        <w:t>物流部结合公司运营需要，可以对产品进行各个市场间的紧急调拨，各个市场间紧急调拨会产生费用，费用包括固定费用和变动费用。</w:t>
      </w:r>
    </w:p>
    <w:p>
      <w:pPr>
        <w:spacing w:line="360" w:lineRule="auto"/>
        <w:ind w:firstLine="420" w:firstLineChars="200"/>
        <w:rPr>
          <w:bCs/>
        </w:rPr>
      </w:pPr>
      <w:r>
        <w:rPr>
          <w:rFonts w:hint="eastAsia"/>
          <w:bCs/>
        </w:rPr>
        <w:t>紧急调拨费用如下：</w:t>
      </w:r>
    </w:p>
    <w:tbl>
      <w:tblPr>
        <w:tblStyle w:val="14"/>
        <w:tblW w:w="8650"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1841"/>
        <w:gridCol w:w="1988"/>
        <w:gridCol w:w="1841"/>
        <w:gridCol w:w="1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8650" w:type="dxa"/>
            <w:gridSpan w:val="5"/>
          </w:tcPr>
          <w:p>
            <w:pPr>
              <w:pStyle w:val="15"/>
              <w:ind w:left="2985" w:right="2874" w:firstLine="422"/>
              <w:jc w:val="center"/>
              <w:rPr>
                <w:b/>
                <w:sz w:val="18"/>
                <w:szCs w:val="20"/>
                <w:lang w:eastAsia="zh-CN"/>
              </w:rPr>
            </w:pPr>
            <w:r>
              <w:rPr>
                <w:b/>
                <w:sz w:val="18"/>
                <w:szCs w:val="20"/>
                <w:lang w:eastAsia="zh-CN"/>
              </w:rPr>
              <w:t>各个市场之间的紧急调拨费用</w:t>
            </w:r>
            <w:r>
              <w:rPr>
                <w:b/>
                <w:w w:val="99"/>
                <w:sz w:val="18"/>
                <w:szCs w:val="20"/>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36" w:type="dxa"/>
          </w:tcPr>
          <w:p>
            <w:pPr>
              <w:pStyle w:val="15"/>
              <w:ind w:left="112"/>
              <w:jc w:val="center"/>
              <w:rPr>
                <w:sz w:val="18"/>
                <w:szCs w:val="20"/>
                <w:lang w:eastAsia="zh-CN"/>
              </w:rPr>
            </w:pPr>
            <w:r>
              <w:rPr>
                <w:sz w:val="18"/>
                <w:szCs w:val="20"/>
                <w:lang w:eastAsia="zh-CN"/>
              </w:rPr>
              <w:t xml:space="preserve"> </w:t>
            </w:r>
          </w:p>
        </w:tc>
        <w:tc>
          <w:tcPr>
            <w:tcW w:w="1841" w:type="dxa"/>
          </w:tcPr>
          <w:p>
            <w:pPr>
              <w:pStyle w:val="15"/>
              <w:ind w:left="531" w:right="420"/>
              <w:jc w:val="center"/>
              <w:rPr>
                <w:sz w:val="18"/>
                <w:szCs w:val="20"/>
                <w:lang w:eastAsia="en-US"/>
              </w:rPr>
            </w:pPr>
            <w:r>
              <w:rPr>
                <w:sz w:val="18"/>
                <w:szCs w:val="20"/>
                <w:lang w:eastAsia="en-US"/>
              </w:rPr>
              <w:t xml:space="preserve">华北市场 </w:t>
            </w:r>
          </w:p>
        </w:tc>
        <w:tc>
          <w:tcPr>
            <w:tcW w:w="1988" w:type="dxa"/>
          </w:tcPr>
          <w:p>
            <w:pPr>
              <w:pStyle w:val="15"/>
              <w:ind w:left="603" w:right="494"/>
              <w:jc w:val="center"/>
              <w:rPr>
                <w:sz w:val="18"/>
                <w:szCs w:val="20"/>
                <w:lang w:eastAsia="en-US"/>
              </w:rPr>
            </w:pPr>
            <w:r>
              <w:rPr>
                <w:sz w:val="18"/>
                <w:szCs w:val="20"/>
                <w:lang w:eastAsia="en-US"/>
              </w:rPr>
              <w:t xml:space="preserve">华中市场 </w:t>
            </w:r>
          </w:p>
        </w:tc>
        <w:tc>
          <w:tcPr>
            <w:tcW w:w="1841" w:type="dxa"/>
          </w:tcPr>
          <w:p>
            <w:pPr>
              <w:pStyle w:val="15"/>
              <w:ind w:left="500"/>
              <w:rPr>
                <w:sz w:val="18"/>
                <w:szCs w:val="20"/>
                <w:lang w:eastAsia="en-US"/>
              </w:rPr>
            </w:pPr>
            <w:r>
              <w:rPr>
                <w:sz w:val="18"/>
                <w:szCs w:val="20"/>
                <w:lang w:eastAsia="en-US"/>
              </w:rPr>
              <w:t xml:space="preserve">华南市场 </w:t>
            </w:r>
          </w:p>
        </w:tc>
        <w:tc>
          <w:tcPr>
            <w:tcW w:w="1844" w:type="dxa"/>
          </w:tcPr>
          <w:p>
            <w:pPr>
              <w:pStyle w:val="15"/>
              <w:ind w:left="533" w:right="420"/>
              <w:jc w:val="center"/>
              <w:rPr>
                <w:sz w:val="18"/>
                <w:szCs w:val="20"/>
                <w:lang w:eastAsia="en-US"/>
              </w:rPr>
            </w:pPr>
            <w:r>
              <w:rPr>
                <w:sz w:val="18"/>
                <w:szCs w:val="20"/>
                <w:lang w:eastAsia="en-US"/>
              </w:rPr>
              <w:t xml:space="preserve">华东市场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36" w:type="dxa"/>
          </w:tcPr>
          <w:p>
            <w:pPr>
              <w:pStyle w:val="15"/>
              <w:ind w:left="146"/>
              <w:rPr>
                <w:sz w:val="18"/>
                <w:szCs w:val="20"/>
                <w:lang w:eastAsia="en-US"/>
              </w:rPr>
            </w:pPr>
            <w:r>
              <w:rPr>
                <w:sz w:val="18"/>
                <w:szCs w:val="20"/>
                <w:lang w:eastAsia="en-US"/>
              </w:rPr>
              <w:t>固定费用</w:t>
            </w:r>
          </w:p>
          <w:p>
            <w:pPr>
              <w:pStyle w:val="15"/>
              <w:spacing w:before="43"/>
              <w:ind w:left="249"/>
              <w:rPr>
                <w:sz w:val="18"/>
                <w:szCs w:val="20"/>
                <w:lang w:eastAsia="en-US"/>
              </w:rPr>
            </w:pPr>
            <w:r>
              <w:rPr>
                <w:sz w:val="18"/>
                <w:szCs w:val="20"/>
                <w:lang w:eastAsia="en-US"/>
              </w:rPr>
              <w:t xml:space="preserve">（元） </w:t>
            </w:r>
          </w:p>
        </w:tc>
        <w:tc>
          <w:tcPr>
            <w:tcW w:w="1841" w:type="dxa"/>
          </w:tcPr>
          <w:p>
            <w:pPr>
              <w:pStyle w:val="15"/>
              <w:spacing w:before="178"/>
              <w:ind w:left="529" w:right="420"/>
              <w:jc w:val="center"/>
              <w:rPr>
                <w:sz w:val="18"/>
                <w:szCs w:val="20"/>
                <w:lang w:eastAsia="en-US"/>
              </w:rPr>
            </w:pPr>
            <w:r>
              <w:rPr>
                <w:sz w:val="18"/>
                <w:szCs w:val="20"/>
                <w:lang w:eastAsia="en-US"/>
              </w:rPr>
              <w:t xml:space="preserve">10000 </w:t>
            </w:r>
          </w:p>
        </w:tc>
        <w:tc>
          <w:tcPr>
            <w:tcW w:w="1988" w:type="dxa"/>
          </w:tcPr>
          <w:p>
            <w:pPr>
              <w:pStyle w:val="15"/>
              <w:spacing w:before="178"/>
              <w:ind w:left="603" w:right="491"/>
              <w:jc w:val="center"/>
              <w:rPr>
                <w:sz w:val="18"/>
                <w:szCs w:val="20"/>
                <w:lang w:eastAsia="en-US"/>
              </w:rPr>
            </w:pPr>
            <w:r>
              <w:rPr>
                <w:sz w:val="18"/>
                <w:szCs w:val="20"/>
                <w:lang w:eastAsia="en-US"/>
              </w:rPr>
              <w:t xml:space="preserve">10000 </w:t>
            </w:r>
          </w:p>
        </w:tc>
        <w:tc>
          <w:tcPr>
            <w:tcW w:w="1841" w:type="dxa"/>
          </w:tcPr>
          <w:p>
            <w:pPr>
              <w:pStyle w:val="15"/>
              <w:spacing w:before="178"/>
              <w:ind w:left="421"/>
              <w:rPr>
                <w:sz w:val="18"/>
                <w:szCs w:val="20"/>
                <w:lang w:eastAsia="en-US"/>
              </w:rPr>
            </w:pPr>
            <w:r>
              <w:rPr>
                <w:sz w:val="18"/>
                <w:szCs w:val="20"/>
                <w:lang w:eastAsia="en-US"/>
              </w:rPr>
              <w:t xml:space="preserve">10000 </w:t>
            </w:r>
          </w:p>
        </w:tc>
        <w:tc>
          <w:tcPr>
            <w:tcW w:w="1844" w:type="dxa"/>
          </w:tcPr>
          <w:p>
            <w:pPr>
              <w:pStyle w:val="15"/>
              <w:spacing w:before="178"/>
              <w:ind w:left="530" w:right="420"/>
              <w:jc w:val="center"/>
              <w:rPr>
                <w:sz w:val="18"/>
                <w:szCs w:val="20"/>
                <w:lang w:eastAsia="en-US"/>
              </w:rPr>
            </w:pPr>
            <w:r>
              <w:rPr>
                <w:sz w:val="18"/>
                <w:szCs w:val="20"/>
                <w:lang w:eastAsia="en-US"/>
              </w:rPr>
              <w:t xml:space="preserve">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1136" w:type="dxa"/>
          </w:tcPr>
          <w:p>
            <w:pPr>
              <w:pStyle w:val="15"/>
              <w:spacing w:before="10"/>
              <w:ind w:left="0" w:firstLine="480"/>
              <w:rPr>
                <w:sz w:val="18"/>
                <w:szCs w:val="20"/>
                <w:lang w:eastAsia="en-US"/>
              </w:rPr>
            </w:pPr>
          </w:p>
          <w:p>
            <w:pPr>
              <w:pStyle w:val="15"/>
              <w:spacing w:before="1"/>
              <w:ind w:left="146"/>
              <w:rPr>
                <w:sz w:val="18"/>
                <w:szCs w:val="20"/>
                <w:lang w:eastAsia="en-US"/>
              </w:rPr>
            </w:pPr>
            <w:r>
              <w:rPr>
                <w:sz w:val="18"/>
                <w:szCs w:val="20"/>
                <w:lang w:eastAsia="en-US"/>
              </w:rPr>
              <w:t>变动费用</w:t>
            </w:r>
          </w:p>
          <w:p>
            <w:pPr>
              <w:pStyle w:val="15"/>
              <w:spacing w:before="43"/>
              <w:ind w:left="249"/>
              <w:rPr>
                <w:sz w:val="18"/>
                <w:szCs w:val="20"/>
                <w:lang w:eastAsia="en-US"/>
              </w:rPr>
            </w:pPr>
            <w:r>
              <w:rPr>
                <w:sz w:val="18"/>
                <w:szCs w:val="20"/>
                <w:lang w:eastAsia="en-US"/>
              </w:rPr>
              <w:t xml:space="preserve">（元） </w:t>
            </w:r>
          </w:p>
        </w:tc>
        <w:tc>
          <w:tcPr>
            <w:tcW w:w="1841" w:type="dxa"/>
          </w:tcPr>
          <w:p>
            <w:pPr>
              <w:pStyle w:val="15"/>
              <w:spacing w:before="162" w:line="278" w:lineRule="auto"/>
              <w:ind w:left="181" w:right="70"/>
              <w:jc w:val="both"/>
              <w:rPr>
                <w:sz w:val="18"/>
                <w:szCs w:val="20"/>
                <w:lang w:eastAsia="zh-CN"/>
              </w:rPr>
            </w:pPr>
            <w:r>
              <w:rPr>
                <w:sz w:val="18"/>
                <w:szCs w:val="20"/>
                <w:u w:val="single"/>
                <w:lang w:eastAsia="zh-CN"/>
              </w:rPr>
              <w:t>华北-华中：0.4</w:t>
            </w:r>
            <w:r>
              <w:rPr>
                <w:sz w:val="18"/>
                <w:szCs w:val="20"/>
                <w:lang w:eastAsia="zh-CN"/>
              </w:rPr>
              <w:t xml:space="preserve"> </w:t>
            </w:r>
          </w:p>
          <w:p>
            <w:pPr>
              <w:pStyle w:val="15"/>
              <w:spacing w:before="162" w:line="278" w:lineRule="auto"/>
              <w:ind w:left="181" w:right="70"/>
              <w:jc w:val="both"/>
              <w:rPr>
                <w:sz w:val="18"/>
                <w:szCs w:val="20"/>
                <w:lang w:eastAsia="zh-CN"/>
              </w:rPr>
            </w:pPr>
            <w:r>
              <w:rPr>
                <w:sz w:val="18"/>
                <w:szCs w:val="20"/>
                <w:u w:val="single"/>
                <w:lang w:eastAsia="zh-CN"/>
              </w:rPr>
              <w:t>华北-华南：0.7</w:t>
            </w:r>
            <w:r>
              <w:rPr>
                <w:sz w:val="18"/>
                <w:szCs w:val="20"/>
                <w:lang w:eastAsia="zh-CN"/>
              </w:rPr>
              <w:t xml:space="preserve"> </w:t>
            </w:r>
          </w:p>
          <w:p>
            <w:pPr>
              <w:pStyle w:val="15"/>
              <w:spacing w:before="162" w:line="278" w:lineRule="auto"/>
              <w:ind w:left="181" w:right="70"/>
              <w:jc w:val="both"/>
              <w:rPr>
                <w:sz w:val="18"/>
                <w:szCs w:val="20"/>
                <w:lang w:eastAsia="en-US"/>
              </w:rPr>
            </w:pPr>
            <w:r>
              <w:rPr>
                <w:sz w:val="18"/>
                <w:szCs w:val="20"/>
                <w:u w:val="single"/>
                <w:lang w:eastAsia="en-US"/>
              </w:rPr>
              <w:t>华北-华东：0.8</w:t>
            </w:r>
            <w:r>
              <w:rPr>
                <w:sz w:val="18"/>
                <w:szCs w:val="20"/>
                <w:lang w:eastAsia="en-US"/>
              </w:rPr>
              <w:t xml:space="preserve"> </w:t>
            </w:r>
          </w:p>
        </w:tc>
        <w:tc>
          <w:tcPr>
            <w:tcW w:w="1988" w:type="dxa"/>
          </w:tcPr>
          <w:p>
            <w:pPr>
              <w:pStyle w:val="15"/>
              <w:spacing w:before="162" w:line="278" w:lineRule="auto"/>
              <w:ind w:left="256" w:right="142"/>
              <w:jc w:val="both"/>
              <w:rPr>
                <w:sz w:val="18"/>
                <w:szCs w:val="20"/>
                <w:lang w:eastAsia="zh-CN"/>
              </w:rPr>
            </w:pPr>
            <w:r>
              <w:rPr>
                <w:sz w:val="18"/>
                <w:szCs w:val="20"/>
                <w:u w:val="single"/>
                <w:lang w:eastAsia="zh-CN"/>
              </w:rPr>
              <w:t>华中-华北：0.4</w:t>
            </w:r>
            <w:r>
              <w:rPr>
                <w:sz w:val="18"/>
                <w:szCs w:val="20"/>
                <w:lang w:eastAsia="zh-CN"/>
              </w:rPr>
              <w:t xml:space="preserve"> </w:t>
            </w:r>
          </w:p>
          <w:p>
            <w:pPr>
              <w:pStyle w:val="15"/>
              <w:spacing w:before="162" w:line="278" w:lineRule="auto"/>
              <w:ind w:left="256" w:right="142"/>
              <w:jc w:val="both"/>
              <w:rPr>
                <w:sz w:val="18"/>
                <w:szCs w:val="20"/>
                <w:lang w:eastAsia="zh-CN"/>
              </w:rPr>
            </w:pPr>
            <w:r>
              <w:rPr>
                <w:sz w:val="18"/>
                <w:szCs w:val="20"/>
                <w:u w:val="single"/>
                <w:lang w:eastAsia="zh-CN"/>
              </w:rPr>
              <w:t>华中-华南：0.4</w:t>
            </w:r>
            <w:r>
              <w:rPr>
                <w:sz w:val="18"/>
                <w:szCs w:val="20"/>
                <w:lang w:eastAsia="zh-CN"/>
              </w:rPr>
              <w:t xml:space="preserve"> </w:t>
            </w:r>
          </w:p>
          <w:p>
            <w:pPr>
              <w:pStyle w:val="15"/>
              <w:spacing w:before="162" w:line="278" w:lineRule="auto"/>
              <w:ind w:left="256" w:right="142"/>
              <w:jc w:val="both"/>
              <w:rPr>
                <w:sz w:val="18"/>
                <w:szCs w:val="20"/>
                <w:lang w:eastAsia="en-US"/>
              </w:rPr>
            </w:pPr>
            <w:r>
              <w:rPr>
                <w:sz w:val="18"/>
                <w:szCs w:val="20"/>
                <w:u w:val="single"/>
                <w:lang w:eastAsia="en-US"/>
              </w:rPr>
              <w:t>华中-华东：0.5</w:t>
            </w:r>
            <w:r>
              <w:rPr>
                <w:sz w:val="18"/>
                <w:szCs w:val="20"/>
                <w:lang w:eastAsia="en-US"/>
              </w:rPr>
              <w:t xml:space="preserve"> </w:t>
            </w:r>
          </w:p>
        </w:tc>
        <w:tc>
          <w:tcPr>
            <w:tcW w:w="1841" w:type="dxa"/>
          </w:tcPr>
          <w:p>
            <w:pPr>
              <w:pStyle w:val="15"/>
              <w:spacing w:before="162" w:line="278" w:lineRule="auto"/>
              <w:ind w:right="69"/>
              <w:jc w:val="both"/>
              <w:rPr>
                <w:sz w:val="18"/>
                <w:szCs w:val="20"/>
                <w:lang w:eastAsia="zh-CN"/>
              </w:rPr>
            </w:pPr>
            <w:r>
              <w:rPr>
                <w:sz w:val="18"/>
                <w:szCs w:val="20"/>
                <w:u w:val="single"/>
                <w:lang w:eastAsia="zh-CN"/>
              </w:rPr>
              <w:t>华南-华北：0.7</w:t>
            </w:r>
            <w:r>
              <w:rPr>
                <w:sz w:val="18"/>
                <w:szCs w:val="20"/>
                <w:lang w:eastAsia="zh-CN"/>
              </w:rPr>
              <w:t xml:space="preserve"> </w:t>
            </w:r>
          </w:p>
          <w:p>
            <w:pPr>
              <w:pStyle w:val="15"/>
              <w:spacing w:before="162" w:line="278" w:lineRule="auto"/>
              <w:ind w:right="69"/>
              <w:jc w:val="both"/>
              <w:rPr>
                <w:sz w:val="18"/>
                <w:szCs w:val="20"/>
                <w:lang w:eastAsia="zh-CN"/>
              </w:rPr>
            </w:pPr>
            <w:r>
              <w:rPr>
                <w:sz w:val="18"/>
                <w:szCs w:val="20"/>
                <w:u w:val="single"/>
                <w:lang w:eastAsia="zh-CN"/>
              </w:rPr>
              <w:t>华南-华中：0.4</w:t>
            </w:r>
            <w:r>
              <w:rPr>
                <w:sz w:val="18"/>
                <w:szCs w:val="20"/>
                <w:lang w:eastAsia="zh-CN"/>
              </w:rPr>
              <w:t xml:space="preserve"> </w:t>
            </w:r>
          </w:p>
          <w:p>
            <w:pPr>
              <w:pStyle w:val="15"/>
              <w:spacing w:before="162" w:line="278" w:lineRule="auto"/>
              <w:ind w:right="69"/>
              <w:jc w:val="both"/>
              <w:rPr>
                <w:sz w:val="18"/>
                <w:szCs w:val="20"/>
                <w:lang w:eastAsia="en-US"/>
              </w:rPr>
            </w:pPr>
            <w:r>
              <w:rPr>
                <w:sz w:val="18"/>
                <w:szCs w:val="20"/>
                <w:u w:val="single"/>
                <w:lang w:eastAsia="en-US"/>
              </w:rPr>
              <w:t>华南-华东：0.4</w:t>
            </w:r>
            <w:r>
              <w:rPr>
                <w:sz w:val="18"/>
                <w:szCs w:val="20"/>
                <w:lang w:eastAsia="en-US"/>
              </w:rPr>
              <w:t xml:space="preserve"> </w:t>
            </w:r>
          </w:p>
        </w:tc>
        <w:tc>
          <w:tcPr>
            <w:tcW w:w="1844" w:type="dxa"/>
          </w:tcPr>
          <w:p>
            <w:pPr>
              <w:pStyle w:val="15"/>
              <w:spacing w:before="162" w:line="278" w:lineRule="auto"/>
              <w:ind w:left="183" w:right="70"/>
              <w:jc w:val="both"/>
              <w:rPr>
                <w:sz w:val="18"/>
                <w:szCs w:val="20"/>
                <w:lang w:eastAsia="zh-CN"/>
              </w:rPr>
            </w:pPr>
            <w:r>
              <w:rPr>
                <w:sz w:val="18"/>
                <w:szCs w:val="20"/>
                <w:u w:val="single"/>
                <w:lang w:eastAsia="zh-CN"/>
              </w:rPr>
              <w:t>华东-华北：0.8</w:t>
            </w:r>
            <w:r>
              <w:rPr>
                <w:sz w:val="18"/>
                <w:szCs w:val="20"/>
                <w:lang w:eastAsia="zh-CN"/>
              </w:rPr>
              <w:t xml:space="preserve"> </w:t>
            </w:r>
          </w:p>
          <w:p>
            <w:pPr>
              <w:pStyle w:val="15"/>
              <w:spacing w:before="162" w:line="278" w:lineRule="auto"/>
              <w:ind w:left="183" w:right="70"/>
              <w:jc w:val="both"/>
              <w:rPr>
                <w:sz w:val="18"/>
                <w:szCs w:val="20"/>
                <w:lang w:eastAsia="zh-CN"/>
              </w:rPr>
            </w:pPr>
            <w:r>
              <w:rPr>
                <w:sz w:val="18"/>
                <w:szCs w:val="20"/>
                <w:u w:val="single"/>
                <w:lang w:eastAsia="zh-CN"/>
              </w:rPr>
              <w:t>华东-华中：0.5</w:t>
            </w:r>
            <w:r>
              <w:rPr>
                <w:sz w:val="18"/>
                <w:szCs w:val="20"/>
                <w:lang w:eastAsia="zh-CN"/>
              </w:rPr>
              <w:t xml:space="preserve"> </w:t>
            </w:r>
          </w:p>
          <w:p>
            <w:pPr>
              <w:pStyle w:val="15"/>
              <w:spacing w:before="162" w:line="278" w:lineRule="auto"/>
              <w:ind w:left="183" w:right="70"/>
              <w:jc w:val="both"/>
              <w:rPr>
                <w:sz w:val="18"/>
                <w:szCs w:val="20"/>
                <w:lang w:eastAsia="en-US"/>
              </w:rPr>
            </w:pPr>
            <w:r>
              <w:rPr>
                <w:sz w:val="18"/>
                <w:szCs w:val="20"/>
                <w:u w:val="single"/>
                <w:lang w:eastAsia="en-US"/>
              </w:rPr>
              <w:t>华东-华南：0.4</w:t>
            </w:r>
            <w:r>
              <w:rPr>
                <w:sz w:val="18"/>
                <w:szCs w:val="20"/>
                <w:lang w:eastAsia="en-US"/>
              </w:rPr>
              <w:t xml:space="preserve"> </w:t>
            </w:r>
          </w:p>
        </w:tc>
      </w:tr>
    </w:tbl>
    <w:p>
      <w:pPr>
        <w:spacing w:line="360" w:lineRule="auto"/>
        <w:rPr>
          <w:bCs/>
        </w:rPr>
      </w:pPr>
      <w:r>
        <w:rPr>
          <w:rFonts w:hint="eastAsia"/>
          <w:bCs/>
        </w:rPr>
        <w:t>3、关于运输费用</w:t>
      </w:r>
    </w:p>
    <w:p>
      <w:pPr>
        <w:spacing w:line="360" w:lineRule="auto"/>
        <w:ind w:firstLine="420" w:firstLineChars="200"/>
        <w:rPr>
          <w:bCs/>
        </w:rPr>
      </w:pPr>
      <w:r>
        <w:rPr>
          <w:rFonts w:hint="eastAsia"/>
          <w:bCs/>
        </w:rPr>
        <w:t>产品生产出库后，从生产工厂投放到各个市场产生运输费用，系统设定华北、华中、华南和华东市场的单个产品运费分别为：0.4 元、0.1 元、0.4 元、0.5 元。</w:t>
      </w:r>
    </w:p>
    <w:p>
      <w:pPr>
        <w:spacing w:line="360" w:lineRule="auto"/>
        <w:rPr>
          <w:bCs/>
        </w:rPr>
      </w:pPr>
      <w:r>
        <w:rPr>
          <w:rFonts w:hint="eastAsia"/>
          <w:bCs/>
        </w:rPr>
        <w:t>八、人力资源部须知</w:t>
      </w:r>
    </w:p>
    <w:p>
      <w:pPr>
        <w:spacing w:line="360" w:lineRule="auto"/>
        <w:rPr>
          <w:bCs/>
        </w:rPr>
      </w:pPr>
      <w:r>
        <w:rPr>
          <w:rFonts w:hint="eastAsia"/>
          <w:bCs/>
        </w:rPr>
        <w:t>1、关于市场客服人员</w:t>
      </w:r>
    </w:p>
    <w:p>
      <w:pPr>
        <w:spacing w:line="360" w:lineRule="auto"/>
        <w:ind w:firstLine="420" w:firstLineChars="200"/>
        <w:rPr>
          <w:bCs/>
        </w:rPr>
      </w:pPr>
      <w:r>
        <w:rPr>
          <w:rFonts w:hint="eastAsia"/>
          <w:bCs/>
        </w:rPr>
        <w:t>为保障市场营销，人资部需要招聘市场客服人员，客服人员数量越多，销售的产品越多。如果市场需求足够大、生产产品数量足够多，但是客服人员数量匹配不足，也无法保证能够销售更多的产品。新招聘客服人员(新员工)在培训期间不能销售产品，市场预计销量和所需客服人员(正式员工)数量之间的基本对应关系为：市场预计销量 0-100000 所需客服人员（正式员工）1 人；市场预计销量 100001-200000 所需客服人员（正式员工）2 人；市场预计销量200001-300000 所需客服人员（正式员工）3 人；市场预计销量 300001-400000 所需客服人员（正式员工）4 人，以此类推。</w:t>
      </w:r>
    </w:p>
    <w:p>
      <w:pPr>
        <w:spacing w:line="360" w:lineRule="auto"/>
        <w:rPr>
          <w:bCs/>
        </w:rPr>
      </w:pPr>
      <w:r>
        <w:rPr>
          <w:rFonts w:hint="eastAsia"/>
          <w:bCs/>
        </w:rPr>
        <w:t>2、关于生产技术工人</w:t>
      </w:r>
    </w:p>
    <w:p>
      <w:pPr>
        <w:spacing w:line="360" w:lineRule="auto"/>
        <w:ind w:firstLine="420" w:firstLineChars="200"/>
        <w:rPr>
          <w:bCs/>
        </w:rPr>
      </w:pPr>
      <w:r>
        <w:rPr>
          <w:rFonts w:hint="eastAsia"/>
          <w:bCs/>
        </w:rPr>
        <w:t>为保证生产线的正常生产，人资部需要招聘技术工人。每条生产线需要配备 3 个熟练的技术工人(正式员工)，最多可以进行 3 个班次的生产，最大生产量为产能的 3 倍。新招聘技术工人(新员工)在培训期间不能操作生产线，只能做一些辅助性工作，包括协助老员工生产、产成品检验、物料盘点、车间整理等相对简单的工作。如果一条生产线无法配齐 3 个熟练的技术工人，则该生产线不能开启，无法进行产品生产。</w:t>
      </w:r>
    </w:p>
    <w:p>
      <w:pPr>
        <w:spacing w:line="360" w:lineRule="auto"/>
        <w:rPr>
          <w:bCs/>
        </w:rPr>
      </w:pPr>
      <w:r>
        <w:rPr>
          <w:rFonts w:hint="eastAsia"/>
          <w:bCs/>
        </w:rPr>
        <w:t>3、关于员工招聘与培训、一次性安置等费用</w:t>
      </w:r>
    </w:p>
    <w:p>
      <w:pPr>
        <w:spacing w:line="360" w:lineRule="auto"/>
        <w:ind w:firstLine="420" w:firstLineChars="200"/>
        <w:rPr>
          <w:bCs/>
        </w:rPr>
      </w:pPr>
      <w:r>
        <w:rPr>
          <w:rFonts w:hint="eastAsia"/>
          <w:bCs/>
        </w:rPr>
        <w:t>公司每招聘一个工作人员，需要产生人员招聘费用 500 元。人员培训主要包括客服人员和技术工人的培训，对于新入职的客服人员和技术工人需要进行为期一季度的培训，每人的培训费用为 1000  元。每解聘一名员工，需要产生一次性生活安置费，其中：客服人员 6000 元，技术工人 5000 元。</w:t>
      </w:r>
    </w:p>
    <w:p>
      <w:pPr>
        <w:spacing w:line="360" w:lineRule="auto"/>
        <w:rPr>
          <w:bCs/>
        </w:rPr>
      </w:pPr>
      <w:r>
        <w:rPr>
          <w:rFonts w:hint="eastAsia"/>
          <w:bCs/>
        </w:rPr>
        <w:t>4、关于员工工资</w:t>
      </w:r>
    </w:p>
    <w:p>
      <w:pPr>
        <w:spacing w:line="360" w:lineRule="auto"/>
        <w:ind w:firstLine="420" w:firstLineChars="200"/>
        <w:rPr>
          <w:bCs/>
        </w:rPr>
      </w:pPr>
      <w:r>
        <w:rPr>
          <w:rFonts w:hint="eastAsia"/>
          <w:bCs/>
        </w:rPr>
        <w:t>系统设定各个地区市场客服人员（正式员工）的工资统一为每人 3000 元/月，一个季度的工资为 9000 元。新招聘客服人员在培训期间的工资折半，为每人 1500 元/月，一个季度的工资为 4500 元，下一个季度转为正式员工。系统设定熟练的技术工人（正式员工）的工资为每人 2500 元/月，一个季度的工资为 7500 元；新招聘技术工人在培训期间的工资为每人 1250 元/月，一个季度的工资为 3750 元，下一个季度转为正式员工。</w:t>
      </w:r>
    </w:p>
    <w:p>
      <w:pPr>
        <w:spacing w:line="360" w:lineRule="auto"/>
        <w:rPr>
          <w:bCs/>
        </w:rPr>
      </w:pPr>
      <w:r>
        <w:rPr>
          <w:rFonts w:hint="eastAsia"/>
          <w:bCs/>
        </w:rPr>
        <w:t>九、财务部须知</w:t>
      </w:r>
    </w:p>
    <w:p>
      <w:pPr>
        <w:spacing w:line="360" w:lineRule="auto"/>
        <w:rPr>
          <w:bCs/>
        </w:rPr>
      </w:pPr>
      <w:r>
        <w:rPr>
          <w:rFonts w:hint="eastAsia"/>
          <w:bCs/>
        </w:rPr>
        <w:t>1、关于融资业务</w:t>
      </w:r>
    </w:p>
    <w:p>
      <w:pPr>
        <w:spacing w:line="360" w:lineRule="auto"/>
        <w:ind w:firstLine="420" w:firstLineChars="200"/>
        <w:rPr>
          <w:bCs/>
        </w:rPr>
      </w:pPr>
      <w:r>
        <w:rPr>
          <w:rFonts w:hint="eastAsia"/>
          <w:bCs/>
        </w:rPr>
        <w:t>公司正式运营后，可以根据运营需要向银行借款，同时可以根据运营需要进行还款。当借款未还时，每一季会产生银行利息，利息计算详见资产负债表。当季的借款直接到达公司账户，可以在当季直接使用。借款和还款行为发生在季初，银行利息则在季末结算，还款的金额只能从公司账面剩余现金中支出。注意：借款时不能还款，还款时不能借款，借款和还款不能同时进行。</w:t>
      </w:r>
    </w:p>
    <w:p>
      <w:pPr>
        <w:spacing w:line="360" w:lineRule="auto"/>
        <w:rPr>
          <w:bCs/>
        </w:rPr>
      </w:pPr>
      <w:r>
        <w:rPr>
          <w:rFonts w:hint="eastAsia"/>
          <w:bCs/>
        </w:rPr>
        <w:t>2、关于正常和非正常负债</w:t>
      </w:r>
    </w:p>
    <w:p>
      <w:pPr>
        <w:spacing w:line="360" w:lineRule="auto"/>
        <w:ind w:firstLine="420" w:firstLineChars="200"/>
        <w:rPr>
          <w:bCs/>
        </w:rPr>
      </w:pPr>
      <w:r>
        <w:rPr>
          <w:rFonts w:hint="eastAsia"/>
          <w:bCs/>
        </w:rPr>
        <w:t>正常负债指公司运营过程中，出现资金短缺，由财务部与银行合作产生的正常经营性借款。为保障公司能持续经营， 系统开通政策性借款自动配给功能，结合公司的综合运营情况，当公司正常经营银行借款数额不够时，系统通过大数据分析按规则自动配给公司借款，产生非正常负债（详见资产负债表）。非正常负债的利息较高，当季非正常负债在下一季按照非正常负债利率计算一次利息之后，非正常负债变为正常负债，之后按照正常负债的利率计算银行利息。在公司经营时，进行合理融资，尽量规避和减少发生非正常负债。</w:t>
      </w:r>
    </w:p>
    <w:p>
      <w:pPr>
        <w:spacing w:line="360" w:lineRule="auto"/>
        <w:rPr>
          <w:bCs/>
        </w:rPr>
      </w:pPr>
      <w:r>
        <w:rPr>
          <w:rFonts w:hint="eastAsia"/>
          <w:bCs/>
        </w:rPr>
        <w:t>3、关于可用现金和红利发放</w:t>
      </w:r>
    </w:p>
    <w:p>
      <w:pPr>
        <w:spacing w:line="360" w:lineRule="auto"/>
        <w:ind w:firstLine="420" w:firstLineChars="200"/>
        <w:rPr>
          <w:bCs/>
        </w:rPr>
      </w:pPr>
      <w:r>
        <w:rPr>
          <w:rFonts w:hint="eastAsia"/>
          <w:bCs/>
        </w:rPr>
        <w:t>系统设定当季销售收入的 50%可以在当季直接使用，当季可用现金等于当季销售收入的 50%和上季账面剩余现金之和。系统设定当所有者权益超过 800 万时，才有资格发放红利。</w:t>
      </w:r>
    </w:p>
    <w:p>
      <w:pPr>
        <w:spacing w:line="360" w:lineRule="auto"/>
        <w:rPr>
          <w:bCs/>
        </w:rPr>
      </w:pPr>
      <w:r>
        <w:rPr>
          <w:rFonts w:hint="eastAsia"/>
          <w:bCs/>
        </w:rPr>
        <w:t>4、关于财务费用和税费</w:t>
      </w:r>
    </w:p>
    <w:p>
      <w:pPr>
        <w:spacing w:line="360" w:lineRule="auto"/>
        <w:ind w:firstLine="420" w:firstLineChars="200"/>
        <w:rPr>
          <w:bCs/>
        </w:rPr>
      </w:pPr>
      <w:r>
        <w:rPr>
          <w:rFonts w:hint="eastAsia"/>
          <w:bCs/>
        </w:rPr>
        <w:t>财务费用有正常负债利息和非正常负债利息。正常负债利息=正常负债×(年利率/4)，非正常负债利息=非正常负债×4×(年利率/4)。增值税=[销售收入/（1+增值税率）] ×增值税率。附加税=增值税×附加税税率。公司所得税=[销售收入/（1+增值税率）- 总成本- 附加税] ×公司所得税率，其中：总成本=产品成本+销售费用+管理费用+财务费用。相关比率由教师端进行设定。</w:t>
      </w:r>
    </w:p>
    <w:p>
      <w:pPr>
        <w:spacing w:line="360" w:lineRule="auto"/>
        <w:rPr>
          <w:bCs/>
        </w:rPr>
      </w:pPr>
      <w:r>
        <w:rPr>
          <w:rFonts w:hint="eastAsia"/>
          <w:bCs/>
        </w:rPr>
        <w:t>5、关于资产负债表</w:t>
      </w:r>
    </w:p>
    <w:tbl>
      <w:tblPr>
        <w:tblStyle w:val="14"/>
        <w:tblW w:w="10303" w:type="dxa"/>
        <w:tblInd w:w="-10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9"/>
        <w:gridCol w:w="817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119" w:type="dxa"/>
            <w:shd w:val="clear" w:color="auto" w:fill="4F81BC"/>
          </w:tcPr>
          <w:p>
            <w:pPr>
              <w:pStyle w:val="15"/>
              <w:ind w:left="833" w:right="824"/>
              <w:jc w:val="center"/>
              <w:rPr>
                <w:sz w:val="21"/>
                <w:lang w:eastAsia="en-US"/>
              </w:rPr>
            </w:pPr>
            <w:r>
              <w:rPr>
                <w:sz w:val="21"/>
                <w:lang w:eastAsia="en-US"/>
              </w:rPr>
              <w:t>科目</w:t>
            </w:r>
          </w:p>
        </w:tc>
        <w:tc>
          <w:tcPr>
            <w:tcW w:w="8184" w:type="dxa"/>
            <w:gridSpan w:val="2"/>
            <w:shd w:val="clear" w:color="auto" w:fill="4F81BC"/>
          </w:tcPr>
          <w:p>
            <w:pPr>
              <w:pStyle w:val="15"/>
              <w:ind w:left="3670" w:right="3663"/>
              <w:jc w:val="center"/>
              <w:rPr>
                <w:sz w:val="21"/>
                <w:lang w:eastAsia="en-US"/>
              </w:rPr>
            </w:pPr>
            <w:r>
              <w:rPr>
                <w:sz w:val="21"/>
                <w:lang w:eastAsia="en-US"/>
              </w:rPr>
              <w:t>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119" w:type="dxa"/>
          </w:tcPr>
          <w:p>
            <w:pPr>
              <w:pStyle w:val="15"/>
              <w:rPr>
                <w:sz w:val="21"/>
                <w:lang w:eastAsia="en-US"/>
              </w:rPr>
            </w:pPr>
            <w:r>
              <w:rPr>
                <w:sz w:val="21"/>
                <w:lang w:eastAsia="en-US"/>
              </w:rPr>
              <w:t>现金</w:t>
            </w:r>
          </w:p>
        </w:tc>
        <w:tc>
          <w:tcPr>
            <w:tcW w:w="8184" w:type="dxa"/>
            <w:gridSpan w:val="2"/>
          </w:tcPr>
          <w:p>
            <w:pPr>
              <w:pStyle w:val="15"/>
              <w:rPr>
                <w:sz w:val="21"/>
                <w:lang w:eastAsia="zh-CN"/>
              </w:rPr>
            </w:pPr>
            <w:r>
              <w:rPr>
                <w:sz w:val="21"/>
                <w:lang w:eastAsia="zh-CN"/>
              </w:rPr>
              <w:t>本季季末公司剩余现金，现金</w:t>
            </w:r>
            <w:r>
              <w:rPr>
                <w:rFonts w:ascii="Calibri" w:eastAsia="Calibri"/>
                <w:sz w:val="21"/>
                <w:lang w:eastAsia="zh-CN"/>
              </w:rPr>
              <w:t>=</w:t>
            </w:r>
            <w:r>
              <w:rPr>
                <w:sz w:val="21"/>
                <w:lang w:eastAsia="zh-CN"/>
              </w:rPr>
              <w:t>本季季末现金余额。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119" w:type="dxa"/>
          </w:tcPr>
          <w:p>
            <w:pPr>
              <w:pStyle w:val="15"/>
              <w:rPr>
                <w:sz w:val="21"/>
                <w:lang w:eastAsia="en-US"/>
              </w:rPr>
            </w:pPr>
            <w:r>
              <w:rPr>
                <w:sz w:val="21"/>
                <w:lang w:eastAsia="en-US"/>
              </w:rPr>
              <w:t>原材料存货价值</w:t>
            </w:r>
          </w:p>
        </w:tc>
        <w:tc>
          <w:tcPr>
            <w:tcW w:w="8184" w:type="dxa"/>
            <w:gridSpan w:val="2"/>
          </w:tcPr>
          <w:p>
            <w:pPr>
              <w:pStyle w:val="15"/>
              <w:rPr>
                <w:sz w:val="21"/>
                <w:lang w:eastAsia="zh-CN"/>
              </w:rPr>
            </w:pPr>
            <w:r>
              <w:rPr>
                <w:sz w:val="21"/>
                <w:lang w:eastAsia="zh-CN"/>
              </w:rPr>
              <w:t>原材料存货价值</w:t>
            </w:r>
            <w:r>
              <w:rPr>
                <w:rFonts w:ascii="Calibri" w:hAnsi="Calibri" w:eastAsia="Calibri"/>
                <w:sz w:val="21"/>
                <w:lang w:eastAsia="zh-CN"/>
              </w:rPr>
              <w:t>=</w:t>
            </w:r>
            <w:r>
              <w:rPr>
                <w:sz w:val="21"/>
                <w:lang w:eastAsia="zh-CN"/>
              </w:rPr>
              <w:t>单位原材料成本×季末原材料存货数量。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119" w:type="dxa"/>
          </w:tcPr>
          <w:p>
            <w:pPr>
              <w:pStyle w:val="15"/>
              <w:rPr>
                <w:sz w:val="21"/>
                <w:lang w:eastAsia="en-US"/>
              </w:rPr>
            </w:pPr>
            <w:r>
              <w:rPr>
                <w:sz w:val="21"/>
                <w:lang w:eastAsia="en-US"/>
              </w:rPr>
              <w:t>产成品存货价值</w:t>
            </w:r>
          </w:p>
        </w:tc>
        <w:tc>
          <w:tcPr>
            <w:tcW w:w="8184" w:type="dxa"/>
            <w:gridSpan w:val="2"/>
          </w:tcPr>
          <w:p>
            <w:pPr>
              <w:pStyle w:val="15"/>
              <w:rPr>
                <w:sz w:val="21"/>
                <w:lang w:eastAsia="zh-CN"/>
              </w:rPr>
            </w:pPr>
            <w:r>
              <w:rPr>
                <w:sz w:val="21"/>
                <w:lang w:eastAsia="zh-CN"/>
              </w:rPr>
              <w:t xml:space="preserve">产成品存货价值＝单位产成品价值（一般为 4 元）×季末产成品存货数量。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119" w:type="dxa"/>
          </w:tcPr>
          <w:p>
            <w:pPr>
              <w:pStyle w:val="15"/>
              <w:rPr>
                <w:sz w:val="21"/>
                <w:lang w:eastAsia="en-US"/>
              </w:rPr>
            </w:pPr>
            <w:r>
              <w:rPr>
                <w:sz w:val="21"/>
                <w:lang w:eastAsia="en-US"/>
              </w:rPr>
              <w:t>生产设备价值</w:t>
            </w:r>
          </w:p>
        </w:tc>
        <w:tc>
          <w:tcPr>
            <w:tcW w:w="8184" w:type="dxa"/>
            <w:gridSpan w:val="2"/>
          </w:tcPr>
          <w:p>
            <w:pPr>
              <w:pStyle w:val="15"/>
              <w:rPr>
                <w:sz w:val="21"/>
                <w:lang w:eastAsia="zh-CN"/>
              </w:rPr>
            </w:pPr>
            <w:r>
              <w:rPr>
                <w:sz w:val="21"/>
                <w:lang w:eastAsia="zh-CN"/>
              </w:rPr>
              <w:t>生产设备价值=季初生产设备价值－生产线折旧＋本季生产线投资额。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2119" w:type="dxa"/>
          </w:tcPr>
          <w:p>
            <w:pPr>
              <w:pStyle w:val="15"/>
              <w:spacing w:before="25"/>
              <w:rPr>
                <w:sz w:val="21"/>
                <w:lang w:eastAsia="en-US"/>
              </w:rPr>
            </w:pPr>
            <w:r>
              <w:rPr>
                <w:sz w:val="21"/>
                <w:lang w:eastAsia="en-US"/>
              </w:rPr>
              <w:t>负债</w:t>
            </w:r>
          </w:p>
        </w:tc>
        <w:tc>
          <w:tcPr>
            <w:tcW w:w="8184" w:type="dxa"/>
            <w:gridSpan w:val="2"/>
          </w:tcPr>
          <w:p>
            <w:pPr>
              <w:pStyle w:val="15"/>
              <w:spacing w:before="25"/>
              <w:rPr>
                <w:sz w:val="21"/>
                <w:lang w:eastAsia="zh-CN"/>
              </w:rPr>
            </w:pPr>
            <w:r>
              <w:rPr>
                <w:sz w:val="21"/>
                <w:lang w:eastAsia="zh-CN"/>
              </w:rPr>
              <w:t>包括正常负债和非正常负债。</w:t>
            </w:r>
          </w:p>
          <w:p>
            <w:pPr>
              <w:pStyle w:val="15"/>
              <w:spacing w:before="43" w:line="278" w:lineRule="auto"/>
              <w:ind w:right="27"/>
              <w:rPr>
                <w:sz w:val="21"/>
                <w:lang w:eastAsia="zh-CN"/>
              </w:rPr>
            </w:pPr>
            <w:r>
              <w:rPr>
                <w:sz w:val="21"/>
                <w:lang w:eastAsia="zh-CN"/>
              </w:rPr>
              <w:t>当上季季末现金余额</w:t>
            </w:r>
            <w:r>
              <w:rPr>
                <w:rFonts w:ascii="Calibri" w:hAnsi="Calibri" w:eastAsia="Calibri"/>
                <w:sz w:val="21"/>
                <w:lang w:eastAsia="zh-CN"/>
              </w:rPr>
              <w:t>+</w:t>
            </w:r>
            <w:r>
              <w:rPr>
                <w:sz w:val="21"/>
                <w:lang w:eastAsia="zh-CN"/>
              </w:rPr>
              <w:t xml:space="preserve">本季现金流量大于等于 </w:t>
            </w:r>
            <w:r>
              <w:rPr>
                <w:rFonts w:ascii="Calibri" w:hAnsi="Calibri" w:eastAsia="Calibri"/>
                <w:sz w:val="21"/>
                <w:lang w:eastAsia="zh-CN"/>
              </w:rPr>
              <w:t>1/2</w:t>
            </w:r>
            <w:r>
              <w:rPr>
                <w:sz w:val="21"/>
                <w:lang w:eastAsia="zh-CN"/>
              </w:rPr>
              <w:t>×销售收入时，非正常负债</w:t>
            </w:r>
            <w:r>
              <w:rPr>
                <w:rFonts w:ascii="Calibri" w:hAnsi="Calibri" w:eastAsia="Calibri"/>
                <w:sz w:val="21"/>
                <w:lang w:eastAsia="zh-CN"/>
              </w:rPr>
              <w:t>=0</w:t>
            </w:r>
            <w:r>
              <w:rPr>
                <w:sz w:val="21"/>
                <w:lang w:eastAsia="zh-CN"/>
              </w:rPr>
              <w:t>；本季季末现金余额</w:t>
            </w:r>
            <w:r>
              <w:rPr>
                <w:rFonts w:ascii="Calibri" w:hAnsi="Calibri" w:eastAsia="Calibri"/>
                <w:sz w:val="21"/>
                <w:lang w:eastAsia="zh-CN"/>
              </w:rPr>
              <w:t>=</w:t>
            </w:r>
            <w:r>
              <w:rPr>
                <w:sz w:val="21"/>
                <w:lang w:eastAsia="zh-CN"/>
              </w:rPr>
              <w:t>上季季末现金余额</w:t>
            </w:r>
            <w:r>
              <w:rPr>
                <w:rFonts w:ascii="Calibri" w:hAnsi="Calibri" w:eastAsia="Calibri"/>
                <w:sz w:val="21"/>
                <w:lang w:eastAsia="zh-CN"/>
              </w:rPr>
              <w:t>+</w:t>
            </w:r>
            <w:r>
              <w:rPr>
                <w:sz w:val="21"/>
                <w:lang w:eastAsia="zh-CN"/>
              </w:rPr>
              <w:t>本季现金流量。</w:t>
            </w:r>
          </w:p>
          <w:p>
            <w:pPr>
              <w:pStyle w:val="15"/>
              <w:spacing w:before="0" w:line="269" w:lineRule="exact"/>
              <w:rPr>
                <w:rFonts w:ascii="Calibri" w:hAnsi="Calibri" w:eastAsia="Calibri"/>
                <w:sz w:val="21"/>
                <w:lang w:eastAsia="zh-CN"/>
              </w:rPr>
            </w:pPr>
            <w:r>
              <w:rPr>
                <w:sz w:val="21"/>
                <w:lang w:eastAsia="zh-CN"/>
              </w:rPr>
              <w:t>当上季季末现金余额</w:t>
            </w:r>
            <w:r>
              <w:rPr>
                <w:rFonts w:ascii="Calibri" w:hAnsi="Calibri" w:eastAsia="Calibri"/>
                <w:sz w:val="21"/>
                <w:lang w:eastAsia="zh-CN"/>
              </w:rPr>
              <w:t>+</w:t>
            </w:r>
            <w:r>
              <w:rPr>
                <w:sz w:val="21"/>
                <w:lang w:eastAsia="zh-CN"/>
              </w:rPr>
              <w:t xml:space="preserve">本季现金流量小于 </w:t>
            </w:r>
            <w:r>
              <w:rPr>
                <w:rFonts w:ascii="Calibri" w:hAnsi="Calibri" w:eastAsia="Calibri"/>
                <w:sz w:val="21"/>
                <w:lang w:eastAsia="zh-CN"/>
              </w:rPr>
              <w:t>1/2</w:t>
            </w:r>
            <w:r>
              <w:rPr>
                <w:sz w:val="21"/>
                <w:lang w:eastAsia="zh-CN"/>
              </w:rPr>
              <w:t>×销售收入时，非正常负债</w:t>
            </w:r>
            <w:r>
              <w:rPr>
                <w:rFonts w:ascii="Calibri" w:hAnsi="Calibri" w:eastAsia="Calibri"/>
                <w:sz w:val="21"/>
                <w:lang w:eastAsia="zh-CN"/>
              </w:rPr>
              <w:t>=1/2</w:t>
            </w:r>
            <w:r>
              <w:rPr>
                <w:sz w:val="21"/>
                <w:lang w:eastAsia="zh-CN"/>
              </w:rPr>
              <w:t>×销售收入</w:t>
            </w:r>
            <w:r>
              <w:rPr>
                <w:rFonts w:ascii="Calibri" w:hAnsi="Calibri" w:eastAsia="Calibri"/>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349" w:hRule="atLeast"/>
        </w:trPr>
        <w:tc>
          <w:tcPr>
            <w:tcW w:w="2119" w:type="dxa"/>
          </w:tcPr>
          <w:p>
            <w:pPr>
              <w:pStyle w:val="15"/>
              <w:spacing w:before="0"/>
              <w:ind w:left="0" w:firstLine="400"/>
              <w:rPr>
                <w:rFonts w:ascii="Times New Roman"/>
                <w:sz w:val="20"/>
                <w:lang w:eastAsia="zh-CN"/>
              </w:rPr>
            </w:pPr>
          </w:p>
        </w:tc>
        <w:tc>
          <w:tcPr>
            <w:tcW w:w="8176" w:type="dxa"/>
          </w:tcPr>
          <w:p>
            <w:pPr>
              <w:pStyle w:val="15"/>
              <w:spacing w:before="16"/>
              <w:rPr>
                <w:sz w:val="21"/>
                <w:lang w:eastAsia="zh-CN"/>
              </w:rPr>
            </w:pPr>
            <w:r>
              <w:rPr>
                <w:sz w:val="21"/>
                <w:lang w:eastAsia="zh-CN"/>
              </w:rPr>
              <w:t>（</w:t>
            </w:r>
            <w:r>
              <w:rPr>
                <w:spacing w:val="-3"/>
                <w:sz w:val="21"/>
                <w:lang w:eastAsia="zh-CN"/>
              </w:rPr>
              <w:t>上季季末现金余额</w:t>
            </w:r>
            <w:r>
              <w:rPr>
                <w:rFonts w:ascii="Calibri" w:hAnsi="Calibri" w:eastAsia="Calibri"/>
                <w:sz w:val="21"/>
                <w:lang w:eastAsia="zh-CN"/>
              </w:rPr>
              <w:t>+</w:t>
            </w:r>
            <w:r>
              <w:rPr>
                <w:spacing w:val="-3"/>
                <w:sz w:val="21"/>
                <w:lang w:eastAsia="zh-CN"/>
              </w:rPr>
              <w:t>本季现金流量</w:t>
            </w:r>
            <w:r>
              <w:rPr>
                <w:spacing w:val="-108"/>
                <w:sz w:val="21"/>
                <w:lang w:eastAsia="zh-CN"/>
              </w:rPr>
              <w:t>）</w:t>
            </w:r>
            <w:r>
              <w:rPr>
                <w:spacing w:val="-3"/>
                <w:sz w:val="21"/>
                <w:lang w:eastAsia="zh-CN"/>
              </w:rPr>
              <w:t>；本季季末现金余额</w:t>
            </w:r>
            <w:r>
              <w:rPr>
                <w:rFonts w:ascii="Calibri" w:hAnsi="Calibri" w:eastAsia="Calibri"/>
                <w:spacing w:val="-2"/>
                <w:sz w:val="21"/>
                <w:lang w:eastAsia="zh-CN"/>
              </w:rPr>
              <w:t>=</w:t>
            </w:r>
            <w:r>
              <w:rPr>
                <w:rFonts w:ascii="Calibri" w:hAnsi="Calibri" w:eastAsia="Calibri"/>
                <w:sz w:val="21"/>
                <w:lang w:eastAsia="zh-CN"/>
              </w:rPr>
              <w:t>1</w:t>
            </w:r>
            <w:r>
              <w:rPr>
                <w:rFonts w:ascii="Calibri" w:hAnsi="Calibri" w:eastAsia="Calibri"/>
                <w:spacing w:val="-3"/>
                <w:sz w:val="21"/>
                <w:lang w:eastAsia="zh-CN"/>
              </w:rPr>
              <w:t>/</w:t>
            </w:r>
            <w:r>
              <w:rPr>
                <w:rFonts w:ascii="Calibri" w:hAnsi="Calibri" w:eastAsia="Calibri"/>
                <w:spacing w:val="1"/>
                <w:sz w:val="21"/>
                <w:lang w:eastAsia="zh-CN"/>
              </w:rPr>
              <w:t>2</w:t>
            </w:r>
            <w:r>
              <w:rPr>
                <w:spacing w:val="-3"/>
                <w:sz w:val="21"/>
                <w:lang w:eastAsia="zh-CN"/>
              </w:rPr>
              <w:t>×销售收入。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8" w:type="dxa"/>
          <w:trHeight w:val="349" w:hRule="atLeast"/>
        </w:trPr>
        <w:tc>
          <w:tcPr>
            <w:tcW w:w="2119" w:type="dxa"/>
          </w:tcPr>
          <w:p>
            <w:pPr>
              <w:pStyle w:val="15"/>
              <w:spacing w:before="16"/>
              <w:rPr>
                <w:sz w:val="21"/>
                <w:lang w:eastAsia="en-US"/>
              </w:rPr>
            </w:pPr>
            <w:r>
              <w:rPr>
                <w:sz w:val="21"/>
                <w:lang w:eastAsia="en-US"/>
              </w:rPr>
              <w:t>所有者权益</w:t>
            </w:r>
          </w:p>
        </w:tc>
        <w:tc>
          <w:tcPr>
            <w:tcW w:w="8176" w:type="dxa"/>
          </w:tcPr>
          <w:p>
            <w:pPr>
              <w:pStyle w:val="15"/>
              <w:spacing w:before="16"/>
              <w:rPr>
                <w:sz w:val="21"/>
                <w:lang w:eastAsia="zh-CN"/>
              </w:rPr>
            </w:pPr>
            <w:r>
              <w:rPr>
                <w:sz w:val="21"/>
                <w:lang w:eastAsia="zh-CN"/>
              </w:rPr>
              <w:t>公司资产扣除负债后由所有者享有的剩余权益。</w:t>
            </w:r>
          </w:p>
        </w:tc>
      </w:tr>
    </w:tbl>
    <w:p>
      <w:pPr>
        <w:spacing w:line="360" w:lineRule="auto"/>
        <w:rPr>
          <w:bCs/>
        </w:rPr>
      </w:pPr>
      <w:r>
        <w:rPr>
          <w:rFonts w:hint="eastAsia"/>
          <w:bCs/>
        </w:rPr>
        <w:t>6、关于现金流量表</w:t>
      </w:r>
    </w:p>
    <w:tbl>
      <w:tblPr>
        <w:tblStyle w:val="14"/>
        <w:tblW w:w="10351" w:type="dxa"/>
        <w:tblInd w:w="-10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8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shd w:val="clear" w:color="auto" w:fill="4F81BC"/>
          </w:tcPr>
          <w:p>
            <w:pPr>
              <w:pStyle w:val="15"/>
              <w:ind w:left="833" w:right="824"/>
              <w:jc w:val="center"/>
              <w:rPr>
                <w:sz w:val="21"/>
                <w:lang w:eastAsia="en-US"/>
              </w:rPr>
            </w:pPr>
            <w:r>
              <w:rPr>
                <w:sz w:val="21"/>
                <w:lang w:eastAsia="en-US"/>
              </w:rPr>
              <w:t>科目</w:t>
            </w:r>
          </w:p>
        </w:tc>
        <w:tc>
          <w:tcPr>
            <w:tcW w:w="8224" w:type="dxa"/>
            <w:shd w:val="clear" w:color="auto" w:fill="4F81BC"/>
          </w:tcPr>
          <w:p>
            <w:pPr>
              <w:pStyle w:val="15"/>
              <w:ind w:left="3670" w:right="3663"/>
              <w:jc w:val="center"/>
              <w:rPr>
                <w:sz w:val="21"/>
                <w:lang w:eastAsia="en-US"/>
              </w:rPr>
            </w:pPr>
            <w:r>
              <w:rPr>
                <w:sz w:val="21"/>
                <w:lang w:eastAsia="en-US"/>
              </w:rPr>
              <w:t>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15"/>
              <w:rPr>
                <w:sz w:val="21"/>
                <w:lang w:eastAsia="en-US"/>
              </w:rPr>
            </w:pPr>
            <w:r>
              <w:rPr>
                <w:sz w:val="21"/>
                <w:lang w:eastAsia="en-US"/>
              </w:rPr>
              <w:t>现金费用支出</w:t>
            </w:r>
          </w:p>
        </w:tc>
        <w:tc>
          <w:tcPr>
            <w:tcW w:w="8224" w:type="dxa"/>
          </w:tcPr>
          <w:p>
            <w:pPr>
              <w:pStyle w:val="15"/>
              <w:rPr>
                <w:sz w:val="21"/>
                <w:lang w:eastAsia="zh-CN"/>
              </w:rPr>
            </w:pPr>
            <w:r>
              <w:rPr>
                <w:sz w:val="21"/>
                <w:lang w:eastAsia="zh-CN"/>
              </w:rPr>
              <w:t>现金费用支出指本季利润表中所有支出项，除去原材料耗用、生产线折旧和产成品存货</w:t>
            </w:r>
          </w:p>
          <w:p>
            <w:pPr>
              <w:pStyle w:val="15"/>
              <w:spacing w:before="43"/>
              <w:rPr>
                <w:sz w:val="21"/>
                <w:lang w:eastAsia="en-US"/>
              </w:rPr>
            </w:pPr>
            <w:r>
              <w:rPr>
                <w:sz w:val="21"/>
                <w:lang w:eastAsia="en-US"/>
              </w:rPr>
              <w:t>价值修正。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127" w:type="dxa"/>
          </w:tcPr>
          <w:p>
            <w:pPr>
              <w:pStyle w:val="15"/>
              <w:spacing w:before="25"/>
              <w:rPr>
                <w:sz w:val="21"/>
                <w:lang w:eastAsia="en-US"/>
              </w:rPr>
            </w:pPr>
            <w:r>
              <w:rPr>
                <w:sz w:val="21"/>
                <w:lang w:eastAsia="en-US"/>
              </w:rPr>
              <w:t>购料支出</w:t>
            </w:r>
          </w:p>
        </w:tc>
        <w:tc>
          <w:tcPr>
            <w:tcW w:w="8224" w:type="dxa"/>
          </w:tcPr>
          <w:p>
            <w:pPr>
              <w:pStyle w:val="15"/>
              <w:spacing w:before="25"/>
              <w:rPr>
                <w:sz w:val="21"/>
                <w:lang w:eastAsia="zh-CN"/>
              </w:rPr>
            </w:pPr>
            <w:r>
              <w:rPr>
                <w:sz w:val="21"/>
                <w:lang w:eastAsia="zh-CN"/>
              </w:rPr>
              <w:t>购买原材料所花费的现金。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生产线投资支出</w:t>
            </w:r>
          </w:p>
        </w:tc>
        <w:tc>
          <w:tcPr>
            <w:tcW w:w="8224" w:type="dxa"/>
          </w:tcPr>
          <w:p>
            <w:pPr>
              <w:pStyle w:val="15"/>
              <w:rPr>
                <w:sz w:val="21"/>
                <w:lang w:eastAsia="zh-CN"/>
              </w:rPr>
            </w:pPr>
            <w:r>
              <w:rPr>
                <w:sz w:val="21"/>
                <w:lang w:eastAsia="zh-CN"/>
              </w:rPr>
              <w:t>购买生产设备所花费的现金。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本季现金流量</w:t>
            </w:r>
          </w:p>
        </w:tc>
        <w:tc>
          <w:tcPr>
            <w:tcW w:w="8224" w:type="dxa"/>
          </w:tcPr>
          <w:p>
            <w:pPr>
              <w:pStyle w:val="15"/>
              <w:rPr>
                <w:sz w:val="21"/>
                <w:lang w:eastAsia="zh-CN"/>
              </w:rPr>
            </w:pPr>
            <w:r>
              <w:rPr>
                <w:sz w:val="21"/>
                <w:lang w:eastAsia="zh-CN"/>
              </w:rPr>
              <w:t>本季现金流量=流入现金-流出现金。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季末现金余额</w:t>
            </w:r>
          </w:p>
        </w:tc>
        <w:tc>
          <w:tcPr>
            <w:tcW w:w="8224" w:type="dxa"/>
          </w:tcPr>
          <w:p>
            <w:pPr>
              <w:pStyle w:val="15"/>
              <w:rPr>
                <w:sz w:val="21"/>
                <w:lang w:eastAsia="zh-CN"/>
              </w:rPr>
            </w:pPr>
            <w:r>
              <w:rPr>
                <w:sz w:val="21"/>
                <w:lang w:eastAsia="zh-CN"/>
              </w:rPr>
              <w:t>本季季末现金余额</w:t>
            </w:r>
            <w:r>
              <w:rPr>
                <w:rFonts w:ascii="Calibri" w:eastAsia="Calibri"/>
                <w:sz w:val="21"/>
                <w:lang w:eastAsia="zh-CN"/>
              </w:rPr>
              <w:t>=</w:t>
            </w:r>
            <w:r>
              <w:rPr>
                <w:sz w:val="21"/>
                <w:lang w:eastAsia="zh-CN"/>
              </w:rPr>
              <w:t>上季季末现金余额</w:t>
            </w:r>
            <w:r>
              <w:rPr>
                <w:rFonts w:ascii="Calibri" w:eastAsia="Calibri"/>
                <w:sz w:val="21"/>
                <w:lang w:eastAsia="zh-CN"/>
              </w:rPr>
              <w:t>+</w:t>
            </w:r>
            <w:r>
              <w:rPr>
                <w:sz w:val="21"/>
                <w:lang w:eastAsia="zh-CN"/>
              </w:rPr>
              <w:t>本季现金流量。</w:t>
            </w:r>
          </w:p>
        </w:tc>
      </w:tr>
    </w:tbl>
    <w:p>
      <w:pPr>
        <w:spacing w:line="360" w:lineRule="auto"/>
        <w:rPr>
          <w:bCs/>
        </w:rPr>
      </w:pPr>
      <w:r>
        <w:rPr>
          <w:rFonts w:hint="eastAsia"/>
          <w:bCs/>
        </w:rPr>
        <w:t>7、关于利润表</w:t>
      </w:r>
    </w:p>
    <w:p>
      <w:pPr>
        <w:spacing w:line="360" w:lineRule="auto"/>
        <w:rPr>
          <w:bCs/>
        </w:rPr>
      </w:pPr>
    </w:p>
    <w:p>
      <w:pPr>
        <w:spacing w:line="360" w:lineRule="auto"/>
        <w:rPr>
          <w:bCs/>
        </w:rPr>
      </w:pPr>
    </w:p>
    <w:tbl>
      <w:tblPr>
        <w:tblStyle w:val="14"/>
        <w:tblpPr w:leftFromText="180" w:rightFromText="180" w:vertAnchor="text" w:horzAnchor="margin" w:tblpXSpec="center" w:tblpY="158"/>
        <w:tblW w:w="10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8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shd w:val="clear" w:color="auto" w:fill="4F81BC"/>
          </w:tcPr>
          <w:p>
            <w:pPr>
              <w:pStyle w:val="15"/>
              <w:ind w:left="833" w:right="824"/>
              <w:jc w:val="center"/>
              <w:rPr>
                <w:sz w:val="21"/>
                <w:lang w:eastAsia="en-US"/>
              </w:rPr>
            </w:pPr>
            <w:r>
              <w:rPr>
                <w:sz w:val="21"/>
                <w:lang w:eastAsia="en-US"/>
              </w:rPr>
              <w:t>科目</w:t>
            </w:r>
          </w:p>
        </w:tc>
        <w:tc>
          <w:tcPr>
            <w:tcW w:w="8224" w:type="dxa"/>
            <w:shd w:val="clear" w:color="auto" w:fill="4F81BC"/>
          </w:tcPr>
          <w:p>
            <w:pPr>
              <w:pStyle w:val="15"/>
              <w:ind w:left="3670" w:right="3663"/>
              <w:jc w:val="center"/>
              <w:rPr>
                <w:sz w:val="21"/>
                <w:lang w:eastAsia="en-US"/>
              </w:rPr>
            </w:pPr>
            <w:r>
              <w:rPr>
                <w:sz w:val="21"/>
                <w:lang w:eastAsia="en-US"/>
              </w:rPr>
              <w:t>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127" w:type="dxa"/>
          </w:tcPr>
          <w:p>
            <w:pPr>
              <w:pStyle w:val="15"/>
              <w:spacing w:before="25"/>
              <w:rPr>
                <w:sz w:val="21"/>
                <w:lang w:eastAsia="en-US"/>
              </w:rPr>
            </w:pPr>
            <w:r>
              <w:rPr>
                <w:sz w:val="21"/>
                <w:lang w:eastAsia="en-US"/>
              </w:rPr>
              <w:t>销售收入</w:t>
            </w:r>
          </w:p>
        </w:tc>
        <w:tc>
          <w:tcPr>
            <w:tcW w:w="8224" w:type="dxa"/>
          </w:tcPr>
          <w:p>
            <w:pPr>
              <w:pStyle w:val="15"/>
              <w:spacing w:before="25"/>
              <w:rPr>
                <w:sz w:val="21"/>
                <w:lang w:eastAsia="zh-CN"/>
              </w:rPr>
            </w:pPr>
            <w:r>
              <w:rPr>
                <w:sz w:val="21"/>
                <w:lang w:eastAsia="zh-CN"/>
              </w:rPr>
              <w:t xml:space="preserve">某市场销售收入=价格×销售量。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7" w:type="dxa"/>
          </w:tcPr>
          <w:p>
            <w:pPr>
              <w:pStyle w:val="15"/>
              <w:rPr>
                <w:sz w:val="21"/>
                <w:lang w:eastAsia="en-US"/>
              </w:rPr>
            </w:pPr>
            <w:r>
              <w:rPr>
                <w:sz w:val="21"/>
                <w:lang w:eastAsia="en-US"/>
              </w:rPr>
              <w:t xml:space="preserve">其它收入 </w:t>
            </w:r>
          </w:p>
        </w:tc>
        <w:tc>
          <w:tcPr>
            <w:tcW w:w="8224" w:type="dxa"/>
          </w:tcPr>
          <w:p>
            <w:pPr>
              <w:pStyle w:val="15"/>
              <w:rPr>
                <w:sz w:val="21"/>
                <w:lang w:eastAsia="zh-CN"/>
              </w:rPr>
            </w:pPr>
            <w:r>
              <w:rPr>
                <w:sz w:val="21"/>
                <w:lang w:eastAsia="zh-CN"/>
              </w:rPr>
              <w:t xml:space="preserve">包括返还的投标保证金、履约保证金。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 xml:space="preserve">研发费用 </w:t>
            </w:r>
          </w:p>
        </w:tc>
        <w:tc>
          <w:tcPr>
            <w:tcW w:w="8224" w:type="dxa"/>
          </w:tcPr>
          <w:p>
            <w:pPr>
              <w:pStyle w:val="15"/>
              <w:rPr>
                <w:sz w:val="21"/>
                <w:lang w:eastAsia="zh-CN"/>
              </w:rPr>
            </w:pPr>
            <w:r>
              <w:rPr>
                <w:sz w:val="21"/>
                <w:lang w:eastAsia="zh-CN"/>
              </w:rPr>
              <w:t xml:space="preserve">投入研发费用可以提高产品的质量。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2127" w:type="dxa"/>
          </w:tcPr>
          <w:p>
            <w:pPr>
              <w:pStyle w:val="15"/>
              <w:rPr>
                <w:sz w:val="21"/>
                <w:lang w:eastAsia="en-US"/>
              </w:rPr>
            </w:pPr>
            <w:r>
              <w:rPr>
                <w:sz w:val="21"/>
                <w:lang w:eastAsia="en-US"/>
              </w:rPr>
              <w:t xml:space="preserve">班次管理费用 </w:t>
            </w:r>
          </w:p>
        </w:tc>
        <w:tc>
          <w:tcPr>
            <w:tcW w:w="8224" w:type="dxa"/>
          </w:tcPr>
          <w:p>
            <w:pPr>
              <w:pStyle w:val="15"/>
              <w:rPr>
                <w:sz w:val="21"/>
                <w:lang w:eastAsia="zh-CN"/>
              </w:rPr>
            </w:pPr>
            <w:r>
              <w:rPr>
                <w:sz w:val="21"/>
                <w:lang w:eastAsia="zh-CN"/>
              </w:rPr>
              <w:t xml:space="preserve">各个生产班次有相应的固定管理费用，具体如下所示： </w:t>
            </w:r>
          </w:p>
          <w:p>
            <w:pPr>
              <w:pStyle w:val="15"/>
              <w:spacing w:before="43"/>
              <w:rPr>
                <w:sz w:val="21"/>
                <w:lang w:eastAsia="zh-CN"/>
              </w:rPr>
            </w:pPr>
            <w:r>
              <w:rPr>
                <w:sz w:val="21"/>
                <w:lang w:eastAsia="zh-CN"/>
              </w:rPr>
              <w:t>如果</w:t>
            </w:r>
            <w:r>
              <w:rPr>
                <w:spacing w:val="-53"/>
                <w:sz w:val="21"/>
                <w:lang w:eastAsia="zh-CN"/>
              </w:rPr>
              <w:t xml:space="preserve"> </w:t>
            </w:r>
            <w:r>
              <w:rPr>
                <w:spacing w:val="-3"/>
                <w:sz w:val="21"/>
                <w:lang w:eastAsia="zh-CN"/>
              </w:rPr>
              <w:t>0</w:t>
            </w:r>
            <w:r>
              <w:rPr>
                <w:spacing w:val="-2"/>
                <w:sz w:val="21"/>
                <w:lang w:eastAsia="zh-CN"/>
              </w:rPr>
              <w:t>&lt;生产量</w:t>
            </w:r>
            <w:r>
              <w:rPr>
                <w:sz w:val="21"/>
                <w:lang w:eastAsia="zh-CN"/>
              </w:rPr>
              <w:t>≤1.5</w:t>
            </w:r>
            <w:r>
              <w:rPr>
                <w:spacing w:val="-55"/>
                <w:sz w:val="21"/>
                <w:lang w:eastAsia="zh-CN"/>
              </w:rPr>
              <w:t xml:space="preserve"> </w:t>
            </w:r>
            <w:r>
              <w:rPr>
                <w:spacing w:val="-5"/>
                <w:sz w:val="21"/>
                <w:lang w:eastAsia="zh-CN"/>
              </w:rPr>
              <w:t>倍产能，那么启动一个班次</w:t>
            </w:r>
            <w:r>
              <w:rPr>
                <w:spacing w:val="-3"/>
                <w:sz w:val="21"/>
                <w:lang w:eastAsia="zh-CN"/>
              </w:rPr>
              <w:t>（</w:t>
            </w:r>
            <w:r>
              <w:rPr>
                <w:sz w:val="21"/>
                <w:lang w:eastAsia="zh-CN"/>
              </w:rPr>
              <w:t>白班</w:t>
            </w:r>
            <w:r>
              <w:rPr>
                <w:spacing w:val="-108"/>
                <w:sz w:val="21"/>
                <w:lang w:eastAsia="zh-CN"/>
              </w:rPr>
              <w:t>）</w:t>
            </w:r>
            <w:r>
              <w:rPr>
                <w:spacing w:val="-4"/>
                <w:sz w:val="21"/>
                <w:lang w:eastAsia="zh-CN"/>
              </w:rPr>
              <w:t>，相应的班次管理费用为</w:t>
            </w:r>
            <w:r>
              <w:rPr>
                <w:spacing w:val="-53"/>
                <w:sz w:val="21"/>
                <w:lang w:eastAsia="zh-CN"/>
              </w:rPr>
              <w:t xml:space="preserve"> </w:t>
            </w:r>
            <w:r>
              <w:rPr>
                <w:spacing w:val="-3"/>
                <w:sz w:val="21"/>
                <w:lang w:eastAsia="zh-CN"/>
              </w:rPr>
              <w:t>1</w:t>
            </w:r>
            <w:r>
              <w:rPr>
                <w:sz w:val="21"/>
                <w:lang w:eastAsia="zh-CN"/>
              </w:rPr>
              <w:t>00</w:t>
            </w:r>
            <w:r>
              <w:rPr>
                <w:spacing w:val="-3"/>
                <w:sz w:val="21"/>
                <w:lang w:eastAsia="zh-CN"/>
              </w:rPr>
              <w:t>0</w:t>
            </w:r>
            <w:r>
              <w:rPr>
                <w:sz w:val="21"/>
                <w:lang w:eastAsia="zh-CN"/>
              </w:rPr>
              <w:t>0</w:t>
            </w:r>
          </w:p>
          <w:p>
            <w:pPr>
              <w:pStyle w:val="15"/>
              <w:spacing w:before="43"/>
              <w:rPr>
                <w:sz w:val="21"/>
                <w:lang w:eastAsia="zh-CN"/>
              </w:rPr>
            </w:pPr>
            <w:r>
              <w:rPr>
                <w:sz w:val="21"/>
                <w:lang w:eastAsia="zh-CN"/>
              </w:rPr>
              <w:t xml:space="preserve">元； </w:t>
            </w:r>
          </w:p>
          <w:p>
            <w:pPr>
              <w:pStyle w:val="15"/>
              <w:spacing w:before="43" w:line="278" w:lineRule="auto"/>
              <w:ind w:right="173"/>
              <w:rPr>
                <w:sz w:val="21"/>
                <w:lang w:eastAsia="zh-CN"/>
              </w:rPr>
            </w:pPr>
            <w:r>
              <w:rPr>
                <w:sz w:val="21"/>
                <w:lang w:eastAsia="zh-CN"/>
              </w:rPr>
              <w:t>如果</w:t>
            </w:r>
            <w:r>
              <w:rPr>
                <w:spacing w:val="-53"/>
                <w:sz w:val="21"/>
                <w:lang w:eastAsia="zh-CN"/>
              </w:rPr>
              <w:t xml:space="preserve"> </w:t>
            </w:r>
            <w:r>
              <w:rPr>
                <w:spacing w:val="-3"/>
                <w:sz w:val="21"/>
                <w:lang w:eastAsia="zh-CN"/>
              </w:rPr>
              <w:t>1</w:t>
            </w:r>
            <w:r>
              <w:rPr>
                <w:sz w:val="21"/>
                <w:lang w:eastAsia="zh-CN"/>
              </w:rPr>
              <w:t>.5</w:t>
            </w:r>
            <w:r>
              <w:rPr>
                <w:spacing w:val="-52"/>
                <w:sz w:val="21"/>
                <w:lang w:eastAsia="zh-CN"/>
              </w:rPr>
              <w:t xml:space="preserve"> </w:t>
            </w:r>
            <w:r>
              <w:rPr>
                <w:spacing w:val="-3"/>
                <w:sz w:val="21"/>
                <w:lang w:eastAsia="zh-CN"/>
              </w:rPr>
              <w:t>倍产能&lt;生产量≤</w:t>
            </w:r>
            <w:r>
              <w:rPr>
                <w:sz w:val="21"/>
                <w:lang w:eastAsia="zh-CN"/>
              </w:rPr>
              <w:t>2.5</w:t>
            </w:r>
            <w:r>
              <w:rPr>
                <w:spacing w:val="-53"/>
                <w:sz w:val="21"/>
                <w:lang w:eastAsia="zh-CN"/>
              </w:rPr>
              <w:t xml:space="preserve"> </w:t>
            </w:r>
            <w:r>
              <w:rPr>
                <w:spacing w:val="-3"/>
                <w:sz w:val="21"/>
                <w:lang w:eastAsia="zh-CN"/>
              </w:rPr>
              <w:t>倍产能，那么启动两个班次</w:t>
            </w:r>
            <w:r>
              <w:rPr>
                <w:sz w:val="21"/>
                <w:lang w:eastAsia="zh-CN"/>
              </w:rPr>
              <w:t>（</w:t>
            </w:r>
            <w:r>
              <w:rPr>
                <w:spacing w:val="-3"/>
                <w:sz w:val="21"/>
                <w:lang w:eastAsia="zh-CN"/>
              </w:rPr>
              <w:t>白班、中班</w:t>
            </w:r>
            <w:r>
              <w:rPr>
                <w:spacing w:val="-106"/>
                <w:sz w:val="21"/>
                <w:lang w:eastAsia="zh-CN"/>
              </w:rPr>
              <w:t>）</w:t>
            </w:r>
            <w:r>
              <w:rPr>
                <w:spacing w:val="-3"/>
                <w:sz w:val="21"/>
                <w:lang w:eastAsia="zh-CN"/>
              </w:rPr>
              <w:t>，相应的班次</w:t>
            </w:r>
            <w:r>
              <w:rPr>
                <w:spacing w:val="-12"/>
                <w:sz w:val="21"/>
                <w:lang w:eastAsia="zh-CN"/>
              </w:rPr>
              <w:t xml:space="preserve">管理费用为 </w:t>
            </w:r>
            <w:r>
              <w:rPr>
                <w:sz w:val="21"/>
                <w:lang w:eastAsia="zh-CN"/>
              </w:rPr>
              <w:t>15000</w:t>
            </w:r>
            <w:r>
              <w:rPr>
                <w:spacing w:val="-20"/>
                <w:sz w:val="21"/>
                <w:lang w:eastAsia="zh-CN"/>
              </w:rPr>
              <w:t xml:space="preserve"> 元；</w:t>
            </w:r>
            <w:r>
              <w:rPr>
                <w:sz w:val="21"/>
                <w:lang w:eastAsia="zh-CN"/>
              </w:rPr>
              <w:t xml:space="preserve"> </w:t>
            </w:r>
          </w:p>
          <w:p>
            <w:pPr>
              <w:pStyle w:val="15"/>
              <w:spacing w:before="0" w:line="269" w:lineRule="exact"/>
              <w:rPr>
                <w:sz w:val="21"/>
                <w:lang w:eastAsia="zh-CN"/>
              </w:rPr>
            </w:pPr>
            <w:r>
              <w:rPr>
                <w:sz w:val="21"/>
                <w:lang w:eastAsia="zh-CN"/>
              </w:rPr>
              <w:t>如果</w:t>
            </w:r>
            <w:r>
              <w:rPr>
                <w:spacing w:val="-53"/>
                <w:sz w:val="21"/>
                <w:lang w:eastAsia="zh-CN"/>
              </w:rPr>
              <w:t xml:space="preserve"> </w:t>
            </w:r>
            <w:r>
              <w:rPr>
                <w:spacing w:val="-3"/>
                <w:sz w:val="21"/>
                <w:lang w:eastAsia="zh-CN"/>
              </w:rPr>
              <w:t>2</w:t>
            </w:r>
            <w:r>
              <w:rPr>
                <w:sz w:val="21"/>
                <w:lang w:eastAsia="zh-CN"/>
              </w:rPr>
              <w:t>.5</w:t>
            </w:r>
            <w:r>
              <w:rPr>
                <w:spacing w:val="-52"/>
                <w:sz w:val="21"/>
                <w:lang w:eastAsia="zh-CN"/>
              </w:rPr>
              <w:t xml:space="preserve"> </w:t>
            </w:r>
            <w:r>
              <w:rPr>
                <w:spacing w:val="-3"/>
                <w:sz w:val="21"/>
                <w:lang w:eastAsia="zh-CN"/>
              </w:rPr>
              <w:t>倍产能&lt;生产量≤</w:t>
            </w:r>
            <w:r>
              <w:rPr>
                <w:sz w:val="21"/>
                <w:lang w:eastAsia="zh-CN"/>
              </w:rPr>
              <w:t>3</w:t>
            </w:r>
            <w:r>
              <w:rPr>
                <w:spacing w:val="-53"/>
                <w:sz w:val="21"/>
                <w:lang w:eastAsia="zh-CN"/>
              </w:rPr>
              <w:t xml:space="preserve"> </w:t>
            </w:r>
            <w:r>
              <w:rPr>
                <w:spacing w:val="-3"/>
                <w:sz w:val="21"/>
                <w:lang w:eastAsia="zh-CN"/>
              </w:rPr>
              <w:t>倍产能，那么启动三个班次（白班、中班和夜班</w:t>
            </w:r>
            <w:r>
              <w:rPr>
                <w:spacing w:val="-108"/>
                <w:sz w:val="21"/>
                <w:lang w:eastAsia="zh-CN"/>
              </w:rPr>
              <w:t>）</w:t>
            </w:r>
            <w:r>
              <w:rPr>
                <w:spacing w:val="-1"/>
                <w:sz w:val="21"/>
                <w:lang w:eastAsia="zh-CN"/>
              </w:rPr>
              <w:t>，相应的</w:t>
            </w:r>
          </w:p>
          <w:p>
            <w:pPr>
              <w:pStyle w:val="15"/>
              <w:spacing w:before="43"/>
              <w:rPr>
                <w:sz w:val="21"/>
                <w:lang w:eastAsia="en-US"/>
              </w:rPr>
            </w:pPr>
            <w:r>
              <w:rPr>
                <w:sz w:val="21"/>
                <w:lang w:eastAsia="en-US"/>
              </w:rPr>
              <w:t xml:space="preserve">班次管理费用为 20000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2127" w:type="dxa"/>
          </w:tcPr>
          <w:p>
            <w:pPr>
              <w:pStyle w:val="15"/>
              <w:rPr>
                <w:sz w:val="21"/>
                <w:lang w:eastAsia="en-US"/>
              </w:rPr>
            </w:pPr>
            <w:r>
              <w:rPr>
                <w:sz w:val="21"/>
                <w:lang w:eastAsia="en-US"/>
              </w:rPr>
              <w:t xml:space="preserve">人工费用 </w:t>
            </w:r>
          </w:p>
        </w:tc>
        <w:tc>
          <w:tcPr>
            <w:tcW w:w="8224" w:type="dxa"/>
          </w:tcPr>
          <w:p>
            <w:pPr>
              <w:pStyle w:val="15"/>
              <w:spacing w:line="278" w:lineRule="auto"/>
              <w:ind w:right="115"/>
              <w:rPr>
                <w:sz w:val="21"/>
                <w:lang w:eastAsia="zh-CN"/>
              </w:rPr>
            </w:pPr>
            <w:r>
              <w:rPr>
                <w:sz w:val="21"/>
                <w:lang w:eastAsia="zh-CN"/>
              </w:rPr>
              <w:t xml:space="preserve">为生产本季产品所花费的人工成本，不同班次的单位人工成本不同，单位成本指在某一班次生产单位产品的人工成本，具体如下所示： </w:t>
            </w:r>
          </w:p>
          <w:p>
            <w:pPr>
              <w:pStyle w:val="15"/>
              <w:spacing w:before="0" w:line="269" w:lineRule="exact"/>
              <w:ind w:firstLine="388"/>
              <w:rPr>
                <w:sz w:val="21"/>
                <w:lang w:eastAsia="zh-CN"/>
              </w:rPr>
            </w:pPr>
            <w:r>
              <w:rPr>
                <w:spacing w:val="-8"/>
                <w:sz w:val="21"/>
                <w:lang w:eastAsia="zh-CN"/>
              </w:rPr>
              <w:t xml:space="preserve">白班单位人工成本为 </w:t>
            </w:r>
            <w:r>
              <w:rPr>
                <w:sz w:val="21"/>
                <w:lang w:eastAsia="zh-CN"/>
              </w:rPr>
              <w:t>1.2</w:t>
            </w:r>
            <w:r>
              <w:rPr>
                <w:spacing w:val="-16"/>
                <w:sz w:val="21"/>
                <w:lang w:eastAsia="zh-CN"/>
              </w:rPr>
              <w:t xml:space="preserve"> 元；白班加班单位人工成本为 </w:t>
            </w:r>
            <w:r>
              <w:rPr>
                <w:sz w:val="21"/>
                <w:lang w:eastAsia="zh-CN"/>
              </w:rPr>
              <w:t>1.3</w:t>
            </w:r>
            <w:r>
              <w:rPr>
                <w:spacing w:val="-15"/>
                <w:sz w:val="21"/>
                <w:lang w:eastAsia="zh-CN"/>
              </w:rPr>
              <w:t xml:space="preserve"> 元；中班单位人工成本为 </w:t>
            </w:r>
            <w:r>
              <w:rPr>
                <w:sz w:val="21"/>
                <w:lang w:eastAsia="zh-CN"/>
              </w:rPr>
              <w:t>1.4</w:t>
            </w:r>
          </w:p>
          <w:p>
            <w:pPr>
              <w:pStyle w:val="15"/>
              <w:spacing w:before="3" w:line="310" w:lineRule="atLeast"/>
              <w:ind w:right="1694" w:firstLine="392"/>
              <w:rPr>
                <w:sz w:val="21"/>
                <w:lang w:eastAsia="zh-CN"/>
              </w:rPr>
            </w:pPr>
            <w:r>
              <w:rPr>
                <w:spacing w:val="-7"/>
                <w:sz w:val="21"/>
                <w:lang w:eastAsia="zh-CN"/>
              </w:rPr>
              <w:t xml:space="preserve">元；中班加班单位人工成本为 </w:t>
            </w:r>
            <w:r>
              <w:rPr>
                <w:sz w:val="21"/>
                <w:lang w:eastAsia="zh-CN"/>
              </w:rPr>
              <w:t>1.5</w:t>
            </w:r>
            <w:r>
              <w:rPr>
                <w:spacing w:val="-13"/>
                <w:sz w:val="21"/>
                <w:lang w:eastAsia="zh-CN"/>
              </w:rPr>
              <w:t xml:space="preserve"> 元；夜班单位人工成本为 </w:t>
            </w:r>
            <w:r>
              <w:rPr>
                <w:sz w:val="21"/>
                <w:lang w:eastAsia="zh-CN"/>
              </w:rPr>
              <w:t>1.6</w:t>
            </w:r>
            <w:r>
              <w:rPr>
                <w:spacing w:val="-18"/>
                <w:sz w:val="21"/>
                <w:lang w:eastAsia="zh-CN"/>
              </w:rPr>
              <w:t xml:space="preserve"> 元。</w:t>
            </w:r>
            <w:r>
              <w:rPr>
                <w:spacing w:val="-3"/>
                <w:sz w:val="21"/>
                <w:lang w:eastAsia="zh-CN"/>
              </w:rPr>
              <w:t>人工费用=单位人工成本×生产数量。</w:t>
            </w:r>
            <w:r>
              <w:rPr>
                <w:sz w:val="21"/>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15"/>
              <w:rPr>
                <w:sz w:val="21"/>
                <w:lang w:eastAsia="en-US"/>
              </w:rPr>
            </w:pPr>
            <w:r>
              <w:rPr>
                <w:sz w:val="21"/>
                <w:lang w:eastAsia="en-US"/>
              </w:rPr>
              <w:t xml:space="preserve">原材料耗用 </w:t>
            </w:r>
          </w:p>
        </w:tc>
        <w:tc>
          <w:tcPr>
            <w:tcW w:w="8224" w:type="dxa"/>
          </w:tcPr>
          <w:p>
            <w:pPr>
              <w:pStyle w:val="15"/>
              <w:ind w:firstLine="388"/>
              <w:rPr>
                <w:sz w:val="21"/>
                <w:lang w:eastAsia="zh-CN"/>
              </w:rPr>
            </w:pPr>
            <w:r>
              <w:rPr>
                <w:spacing w:val="-8"/>
                <w:sz w:val="21"/>
                <w:lang w:eastAsia="zh-CN"/>
              </w:rPr>
              <w:t>为生产本季产品所花费的材料成本，原材料耗用=单位材料成本×耗用原材料数量，单位</w:t>
            </w:r>
          </w:p>
          <w:p>
            <w:pPr>
              <w:pStyle w:val="15"/>
              <w:spacing w:before="43"/>
              <w:ind w:firstLine="408"/>
              <w:rPr>
                <w:sz w:val="21"/>
                <w:lang w:eastAsia="zh-CN"/>
              </w:rPr>
            </w:pPr>
            <w:r>
              <w:rPr>
                <w:spacing w:val="-3"/>
                <w:sz w:val="21"/>
                <w:lang w:eastAsia="zh-CN"/>
              </w:rPr>
              <w:t>材料成本=(当季购料金额+上季原材料存货价值</w:t>
            </w:r>
            <w:r>
              <w:rPr>
                <w:sz w:val="21"/>
                <w:lang w:eastAsia="zh-CN"/>
              </w:rPr>
              <w:t>)/</w:t>
            </w:r>
            <w:r>
              <w:rPr>
                <w:spacing w:val="-3"/>
                <w:sz w:val="21"/>
                <w:lang w:eastAsia="zh-CN"/>
              </w:rPr>
              <w:t>(当季购料数量+上季原材料存货量)。</w:t>
            </w:r>
            <w:r>
              <w:rPr>
                <w:sz w:val="21"/>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127" w:type="dxa"/>
          </w:tcPr>
          <w:p>
            <w:pPr>
              <w:pStyle w:val="15"/>
              <w:spacing w:before="25"/>
              <w:rPr>
                <w:sz w:val="21"/>
                <w:lang w:eastAsia="en-US"/>
              </w:rPr>
            </w:pPr>
            <w:r>
              <w:rPr>
                <w:sz w:val="21"/>
                <w:lang w:eastAsia="en-US"/>
              </w:rPr>
              <w:t xml:space="preserve">原材料订购成本 </w:t>
            </w:r>
          </w:p>
        </w:tc>
        <w:tc>
          <w:tcPr>
            <w:tcW w:w="8224" w:type="dxa"/>
          </w:tcPr>
          <w:p>
            <w:pPr>
              <w:pStyle w:val="15"/>
              <w:spacing w:before="25"/>
              <w:ind w:firstLine="408"/>
              <w:rPr>
                <w:sz w:val="21"/>
                <w:lang w:eastAsia="en-US"/>
              </w:rPr>
            </w:pPr>
            <w:r>
              <w:rPr>
                <w:spacing w:val="-3"/>
                <w:sz w:val="21"/>
                <w:lang w:eastAsia="zh-CN"/>
              </w:rPr>
              <w:t>订购原材料过程中所产生的相关费用</w:t>
            </w:r>
            <w:r>
              <w:rPr>
                <w:sz w:val="21"/>
                <w:lang w:eastAsia="zh-CN"/>
              </w:rPr>
              <w:t>（</w:t>
            </w:r>
            <w:r>
              <w:rPr>
                <w:spacing w:val="-3"/>
                <w:sz w:val="21"/>
                <w:lang w:eastAsia="zh-CN"/>
              </w:rPr>
              <w:t>含订购手续费、运费等</w:t>
            </w:r>
            <w:r>
              <w:rPr>
                <w:spacing w:val="-106"/>
                <w:sz w:val="21"/>
                <w:lang w:eastAsia="zh-CN"/>
              </w:rPr>
              <w:t>）</w:t>
            </w:r>
            <w:r>
              <w:rPr>
                <w:spacing w:val="-3"/>
                <w:sz w:val="21"/>
                <w:lang w:eastAsia="zh-CN"/>
              </w:rPr>
              <w:t>。</w:t>
            </w:r>
            <w:r>
              <w:rPr>
                <w:spacing w:val="-3"/>
                <w:sz w:val="21"/>
                <w:lang w:eastAsia="en-US"/>
              </w:rPr>
              <w:t>详细见采购部须知。</w:t>
            </w:r>
            <w:r>
              <w:rPr>
                <w:sz w:val="21"/>
                <w:lang w:eastAsia="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15"/>
              <w:rPr>
                <w:sz w:val="21"/>
                <w:lang w:eastAsia="zh-CN"/>
              </w:rPr>
            </w:pPr>
            <w:r>
              <w:rPr>
                <w:sz w:val="21"/>
                <w:lang w:eastAsia="zh-CN"/>
              </w:rPr>
              <w:t>原材料非正常采购费</w:t>
            </w:r>
          </w:p>
          <w:p>
            <w:pPr>
              <w:pStyle w:val="15"/>
              <w:spacing w:before="43"/>
              <w:rPr>
                <w:sz w:val="21"/>
                <w:lang w:eastAsia="zh-CN"/>
              </w:rPr>
            </w:pPr>
            <w:r>
              <w:rPr>
                <w:sz w:val="21"/>
                <w:lang w:eastAsia="zh-CN"/>
              </w:rPr>
              <w:t xml:space="preserve">用 </w:t>
            </w:r>
          </w:p>
        </w:tc>
        <w:tc>
          <w:tcPr>
            <w:tcW w:w="8224" w:type="dxa"/>
          </w:tcPr>
          <w:p>
            <w:pPr>
              <w:pStyle w:val="15"/>
              <w:rPr>
                <w:sz w:val="21"/>
                <w:lang w:eastAsia="zh-CN"/>
              </w:rPr>
            </w:pPr>
            <w:r>
              <w:rPr>
                <w:sz w:val="21"/>
                <w:lang w:eastAsia="zh-CN"/>
              </w:rPr>
              <w:t>当发生原材料非正常采购时，每个原材料在当前市场价格的基础上需要额外支付非正常</w:t>
            </w:r>
          </w:p>
          <w:p>
            <w:pPr>
              <w:pStyle w:val="15"/>
              <w:spacing w:before="43"/>
              <w:rPr>
                <w:sz w:val="21"/>
                <w:lang w:eastAsia="zh-CN"/>
              </w:rPr>
            </w:pPr>
            <w:r>
              <w:rPr>
                <w:sz w:val="21"/>
                <w:lang w:eastAsia="zh-CN"/>
              </w:rPr>
              <w:t xml:space="preserve">采购费用 1.0 元，非正常采购的原材料当季可以使用。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15"/>
              <w:rPr>
                <w:sz w:val="21"/>
                <w:lang w:eastAsia="en-US"/>
              </w:rPr>
            </w:pPr>
            <w:r>
              <w:rPr>
                <w:sz w:val="21"/>
                <w:lang w:eastAsia="en-US"/>
              </w:rPr>
              <w:t xml:space="preserve">生产线维护费用 </w:t>
            </w:r>
          </w:p>
        </w:tc>
        <w:tc>
          <w:tcPr>
            <w:tcW w:w="8224" w:type="dxa"/>
          </w:tcPr>
          <w:p>
            <w:pPr>
              <w:pStyle w:val="15"/>
              <w:rPr>
                <w:sz w:val="21"/>
                <w:lang w:eastAsia="zh-CN"/>
              </w:rPr>
            </w:pPr>
            <w:r>
              <w:rPr>
                <w:sz w:val="21"/>
                <w:lang w:eastAsia="zh-CN"/>
              </w:rPr>
              <w:t>保证生产线正常运行所花费的日常维修保养费用。按照生产线数量来计算，生产线维护</w:t>
            </w:r>
          </w:p>
          <w:p>
            <w:pPr>
              <w:pStyle w:val="15"/>
              <w:spacing w:before="43"/>
              <w:rPr>
                <w:sz w:val="21"/>
                <w:lang w:eastAsia="zh-CN"/>
              </w:rPr>
            </w:pPr>
            <w:r>
              <w:rPr>
                <w:sz w:val="21"/>
                <w:lang w:eastAsia="zh-CN"/>
              </w:rPr>
              <w:t xml:space="preserve">费用=单条生产线维护费用×生产线数量，单条生产线维护费用=12000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15"/>
              <w:rPr>
                <w:sz w:val="21"/>
                <w:lang w:eastAsia="en-US"/>
              </w:rPr>
            </w:pPr>
            <w:r>
              <w:rPr>
                <w:sz w:val="21"/>
                <w:lang w:eastAsia="en-US"/>
              </w:rPr>
              <w:t xml:space="preserve">生产线订购成本 </w:t>
            </w:r>
          </w:p>
        </w:tc>
        <w:tc>
          <w:tcPr>
            <w:tcW w:w="8224" w:type="dxa"/>
          </w:tcPr>
          <w:p>
            <w:pPr>
              <w:pStyle w:val="15"/>
              <w:ind w:firstLine="400"/>
              <w:rPr>
                <w:sz w:val="21"/>
                <w:lang w:eastAsia="zh-CN"/>
              </w:rPr>
            </w:pPr>
            <w:r>
              <w:rPr>
                <w:spacing w:val="-5"/>
                <w:sz w:val="21"/>
                <w:lang w:eastAsia="zh-CN"/>
              </w:rPr>
              <w:t>购买生产线设备所产生的费用</w:t>
            </w:r>
            <w:r>
              <w:rPr>
                <w:sz w:val="21"/>
                <w:lang w:eastAsia="zh-CN"/>
              </w:rPr>
              <w:t>（</w:t>
            </w:r>
            <w:r>
              <w:rPr>
                <w:spacing w:val="-8"/>
                <w:sz w:val="21"/>
                <w:lang w:eastAsia="zh-CN"/>
              </w:rPr>
              <w:t>包含运费、保险费、安装调试费等费用</w:t>
            </w:r>
            <w:r>
              <w:rPr>
                <w:spacing w:val="-108"/>
                <w:sz w:val="21"/>
                <w:lang w:eastAsia="zh-CN"/>
              </w:rPr>
              <w:t>）</w:t>
            </w:r>
            <w:r>
              <w:rPr>
                <w:spacing w:val="-6"/>
                <w:sz w:val="21"/>
                <w:lang w:eastAsia="zh-CN"/>
              </w:rPr>
              <w:t>。按照生产线数</w:t>
            </w:r>
          </w:p>
          <w:p>
            <w:pPr>
              <w:pStyle w:val="15"/>
              <w:spacing w:before="43"/>
              <w:rPr>
                <w:sz w:val="21"/>
                <w:lang w:eastAsia="zh-CN"/>
              </w:rPr>
            </w:pPr>
            <w:r>
              <w:rPr>
                <w:sz w:val="21"/>
                <w:lang w:eastAsia="zh-CN"/>
              </w:rPr>
              <w:t xml:space="preserve">量计算订购成本，单条生产线订购成本为 10 万元。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7" w:type="dxa"/>
          </w:tcPr>
          <w:p>
            <w:pPr>
              <w:pStyle w:val="15"/>
              <w:spacing w:before="23"/>
              <w:rPr>
                <w:sz w:val="21"/>
                <w:lang w:eastAsia="en-US"/>
              </w:rPr>
            </w:pPr>
            <w:r>
              <w:rPr>
                <w:sz w:val="21"/>
                <w:lang w:eastAsia="en-US"/>
              </w:rPr>
              <w:t xml:space="preserve">生产线折旧 </w:t>
            </w:r>
          </w:p>
        </w:tc>
        <w:tc>
          <w:tcPr>
            <w:tcW w:w="8224" w:type="dxa"/>
          </w:tcPr>
          <w:p>
            <w:pPr>
              <w:pStyle w:val="15"/>
              <w:spacing w:before="23"/>
              <w:rPr>
                <w:sz w:val="21"/>
                <w:lang w:eastAsia="zh-CN"/>
              </w:rPr>
            </w:pPr>
            <w:r>
              <w:rPr>
                <w:sz w:val="21"/>
                <w:lang w:eastAsia="zh-CN"/>
              </w:rPr>
              <w:t xml:space="preserve">生产线折旧每季都以 2.5%的比例进行，生产线折旧= 季初设备帐面价值×2.5%。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 xml:space="preserve">产成品存货价值修正 </w:t>
            </w:r>
          </w:p>
        </w:tc>
        <w:tc>
          <w:tcPr>
            <w:tcW w:w="8224" w:type="dxa"/>
          </w:tcPr>
          <w:p>
            <w:pPr>
              <w:pStyle w:val="15"/>
              <w:rPr>
                <w:sz w:val="21"/>
                <w:lang w:eastAsia="zh-CN"/>
              </w:rPr>
            </w:pPr>
            <w:r>
              <w:rPr>
                <w:sz w:val="21"/>
                <w:lang w:eastAsia="zh-CN"/>
              </w:rPr>
              <w:t xml:space="preserve">产成品存货价值修正=上季产成品存货价值-本季产成品存货价值。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127" w:type="dxa"/>
          </w:tcPr>
          <w:p>
            <w:pPr>
              <w:pStyle w:val="15"/>
              <w:spacing w:before="25"/>
              <w:rPr>
                <w:sz w:val="21"/>
                <w:lang w:eastAsia="en-US"/>
              </w:rPr>
            </w:pPr>
            <w:r>
              <w:rPr>
                <w:sz w:val="21"/>
                <w:lang w:eastAsia="en-US"/>
              </w:rPr>
              <w:t xml:space="preserve">招投标费用 </w:t>
            </w:r>
          </w:p>
        </w:tc>
        <w:tc>
          <w:tcPr>
            <w:tcW w:w="8224" w:type="dxa"/>
          </w:tcPr>
          <w:p>
            <w:pPr>
              <w:pStyle w:val="15"/>
              <w:spacing w:before="25"/>
              <w:ind w:right="-15" w:firstLine="384"/>
              <w:rPr>
                <w:sz w:val="21"/>
                <w:lang w:eastAsia="zh-CN"/>
              </w:rPr>
            </w:pPr>
            <w:r>
              <w:rPr>
                <w:spacing w:val="-9"/>
                <w:sz w:val="21"/>
                <w:lang w:eastAsia="zh-CN"/>
              </w:rPr>
              <w:t>每参加一次招投标会产生相应费用，如：购买标书费、标书打印费、交通费、劳务费等，</w:t>
            </w:r>
          </w:p>
          <w:p>
            <w:pPr>
              <w:pStyle w:val="15"/>
              <w:spacing w:before="43"/>
              <w:rPr>
                <w:sz w:val="21"/>
                <w:lang w:eastAsia="zh-CN"/>
              </w:rPr>
            </w:pPr>
            <w:r>
              <w:rPr>
                <w:sz w:val="21"/>
                <w:lang w:eastAsia="zh-CN"/>
              </w:rPr>
              <w:t xml:space="preserve">招投标费用按照一次 1000 元计算。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 xml:space="preserve">投标保证金 </w:t>
            </w:r>
          </w:p>
        </w:tc>
        <w:tc>
          <w:tcPr>
            <w:tcW w:w="8224" w:type="dxa"/>
          </w:tcPr>
          <w:p>
            <w:pPr>
              <w:pStyle w:val="15"/>
              <w:rPr>
                <w:sz w:val="21"/>
                <w:lang w:eastAsia="zh-CN"/>
              </w:rPr>
            </w:pPr>
            <w:r>
              <w:rPr>
                <w:sz w:val="21"/>
                <w:lang w:eastAsia="zh-CN"/>
              </w:rPr>
              <w:t xml:space="preserve">投标保证金一般按照招标项目采购预算金额的 2%收取。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 xml:space="preserve">履约保证金 </w:t>
            </w:r>
          </w:p>
        </w:tc>
        <w:tc>
          <w:tcPr>
            <w:tcW w:w="8224" w:type="dxa"/>
          </w:tcPr>
          <w:p>
            <w:pPr>
              <w:pStyle w:val="15"/>
              <w:rPr>
                <w:sz w:val="21"/>
                <w:lang w:eastAsia="zh-CN"/>
              </w:rPr>
            </w:pPr>
            <w:r>
              <w:rPr>
                <w:sz w:val="21"/>
                <w:lang w:eastAsia="zh-CN"/>
              </w:rPr>
              <w:t xml:space="preserve">履约保证金一般按照中标合同金额的 10%收取。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 xml:space="preserve">营销费用 </w:t>
            </w:r>
          </w:p>
        </w:tc>
        <w:tc>
          <w:tcPr>
            <w:tcW w:w="8224" w:type="dxa"/>
          </w:tcPr>
          <w:p>
            <w:pPr>
              <w:pStyle w:val="15"/>
              <w:ind w:right="-15" w:firstLine="368"/>
              <w:rPr>
                <w:sz w:val="21"/>
                <w:lang w:eastAsia="zh-CN"/>
              </w:rPr>
            </w:pPr>
            <w:r>
              <w:rPr>
                <w:spacing w:val="-13"/>
                <w:sz w:val="21"/>
                <w:lang w:eastAsia="zh-CN"/>
              </w:rPr>
              <w:t>华北、华中、华南和华东市场的总营销费用，投入营销费用可以提高产品的品牌知名度。</w:t>
            </w:r>
            <w:r>
              <w:rPr>
                <w:sz w:val="21"/>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15"/>
              <w:rPr>
                <w:sz w:val="21"/>
                <w:lang w:eastAsia="en-US"/>
              </w:rPr>
            </w:pPr>
            <w:r>
              <w:rPr>
                <w:sz w:val="21"/>
                <w:lang w:eastAsia="en-US"/>
              </w:rPr>
              <w:t xml:space="preserve">运输费用 </w:t>
            </w:r>
          </w:p>
        </w:tc>
        <w:tc>
          <w:tcPr>
            <w:tcW w:w="8224" w:type="dxa"/>
          </w:tcPr>
          <w:p>
            <w:pPr>
              <w:pStyle w:val="15"/>
              <w:rPr>
                <w:sz w:val="21"/>
                <w:lang w:eastAsia="zh-CN"/>
              </w:rPr>
            </w:pPr>
            <w:r>
              <w:rPr>
                <w:sz w:val="21"/>
                <w:lang w:eastAsia="zh-CN"/>
              </w:rPr>
              <w:t>从生产工厂到各个市场的运输费用，华北、华中、华南和华东市场的单个产品运费分别</w:t>
            </w:r>
          </w:p>
          <w:p>
            <w:pPr>
              <w:pStyle w:val="15"/>
              <w:spacing w:before="43"/>
              <w:rPr>
                <w:sz w:val="21"/>
                <w:lang w:eastAsia="zh-CN"/>
              </w:rPr>
            </w:pPr>
            <w:r>
              <w:rPr>
                <w:sz w:val="21"/>
                <w:lang w:eastAsia="zh-CN"/>
              </w:rPr>
              <w:t xml:space="preserve">为：0.4 元、0.1 元、0.4 元、0.5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rPr>
                <w:sz w:val="21"/>
                <w:lang w:eastAsia="en-US"/>
              </w:rPr>
            </w:pPr>
            <w:r>
              <w:rPr>
                <w:sz w:val="21"/>
                <w:lang w:eastAsia="en-US"/>
              </w:rPr>
              <w:t xml:space="preserve">紧急调拨费用 </w:t>
            </w:r>
          </w:p>
        </w:tc>
        <w:tc>
          <w:tcPr>
            <w:tcW w:w="8224" w:type="dxa"/>
          </w:tcPr>
          <w:p>
            <w:pPr>
              <w:pStyle w:val="15"/>
              <w:rPr>
                <w:sz w:val="21"/>
                <w:lang w:eastAsia="zh-CN"/>
              </w:rPr>
            </w:pPr>
            <w:r>
              <w:rPr>
                <w:sz w:val="21"/>
                <w:lang w:eastAsia="zh-CN"/>
              </w:rPr>
              <w:t xml:space="preserve">具体费用详见物流部须知。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127" w:type="dxa"/>
          </w:tcPr>
          <w:p>
            <w:pPr>
              <w:pStyle w:val="15"/>
              <w:spacing w:before="25"/>
              <w:rPr>
                <w:sz w:val="21"/>
                <w:lang w:eastAsia="en-US"/>
              </w:rPr>
            </w:pPr>
            <w:r>
              <w:rPr>
                <w:sz w:val="21"/>
                <w:lang w:eastAsia="en-US"/>
              </w:rPr>
              <w:t xml:space="preserve">招聘费 </w:t>
            </w:r>
          </w:p>
        </w:tc>
        <w:tc>
          <w:tcPr>
            <w:tcW w:w="8224" w:type="dxa"/>
          </w:tcPr>
          <w:p>
            <w:pPr>
              <w:pStyle w:val="15"/>
              <w:spacing w:before="25"/>
              <w:rPr>
                <w:sz w:val="21"/>
                <w:lang w:eastAsia="zh-CN"/>
              </w:rPr>
            </w:pPr>
            <w:r>
              <w:rPr>
                <w:sz w:val="21"/>
                <w:lang w:eastAsia="zh-CN"/>
              </w:rPr>
              <w:t xml:space="preserve">每招聘一个工作人员，需要支付人员招聘费用 500 元。 </w:t>
            </w:r>
          </w:p>
        </w:tc>
      </w:tr>
    </w:tbl>
    <w:p>
      <w:pPr>
        <w:spacing w:line="360" w:lineRule="auto"/>
        <w:rPr>
          <w:bCs/>
        </w:rPr>
      </w:pPr>
    </w:p>
    <w:p>
      <w:pPr>
        <w:spacing w:line="360" w:lineRule="auto"/>
        <w:rPr>
          <w:bCs/>
        </w:rPr>
      </w:pPr>
    </w:p>
    <w:p>
      <w:pPr>
        <w:spacing w:line="360" w:lineRule="auto"/>
        <w:rPr>
          <w:bCs/>
        </w:rPr>
      </w:pPr>
    </w:p>
    <w:tbl>
      <w:tblPr>
        <w:tblStyle w:val="14"/>
        <w:tblW w:w="10351" w:type="dxa"/>
        <w:tblInd w:w="-10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7"/>
        <w:gridCol w:w="8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15"/>
              <w:spacing w:before="16"/>
              <w:rPr>
                <w:sz w:val="21"/>
                <w:lang w:eastAsia="en-US"/>
              </w:rPr>
            </w:pPr>
            <w:r>
              <w:rPr>
                <w:sz w:val="21"/>
                <w:lang w:eastAsia="en-US"/>
              </w:rPr>
              <w:t xml:space="preserve">培训费 </w:t>
            </w:r>
          </w:p>
        </w:tc>
        <w:tc>
          <w:tcPr>
            <w:tcW w:w="8224" w:type="dxa"/>
          </w:tcPr>
          <w:p>
            <w:pPr>
              <w:pStyle w:val="15"/>
              <w:spacing w:before="16"/>
              <w:rPr>
                <w:sz w:val="21"/>
                <w:lang w:eastAsia="zh-CN"/>
              </w:rPr>
            </w:pPr>
            <w:r>
              <w:rPr>
                <w:sz w:val="21"/>
                <w:lang w:eastAsia="zh-CN"/>
              </w:rPr>
              <w:t>人员培训主要包括客服人员和技术工人的培训。对于新入职的客服人员和技工人需要进</w:t>
            </w:r>
          </w:p>
          <w:p>
            <w:pPr>
              <w:pStyle w:val="15"/>
              <w:spacing w:before="43"/>
              <w:rPr>
                <w:sz w:val="21"/>
                <w:lang w:eastAsia="zh-CN"/>
              </w:rPr>
            </w:pPr>
            <w:r>
              <w:rPr>
                <w:sz w:val="21"/>
                <w:lang w:eastAsia="zh-CN"/>
              </w:rPr>
              <w:t xml:space="preserve">行为期一季度的培训，每人的培训费用为 1000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127" w:type="dxa"/>
          </w:tcPr>
          <w:p>
            <w:pPr>
              <w:pStyle w:val="15"/>
              <w:spacing w:before="16"/>
              <w:rPr>
                <w:sz w:val="21"/>
                <w:lang w:eastAsia="en-US"/>
              </w:rPr>
            </w:pPr>
            <w:r>
              <w:rPr>
                <w:sz w:val="21"/>
                <w:lang w:eastAsia="en-US"/>
              </w:rPr>
              <w:t xml:space="preserve">员工工资 </w:t>
            </w:r>
          </w:p>
        </w:tc>
        <w:tc>
          <w:tcPr>
            <w:tcW w:w="8224" w:type="dxa"/>
          </w:tcPr>
          <w:p>
            <w:pPr>
              <w:pStyle w:val="15"/>
              <w:spacing w:before="16"/>
              <w:rPr>
                <w:sz w:val="21"/>
                <w:lang w:eastAsia="zh-CN"/>
              </w:rPr>
            </w:pPr>
            <w:r>
              <w:rPr>
                <w:sz w:val="21"/>
                <w:lang w:eastAsia="zh-CN"/>
              </w:rPr>
              <w:t xml:space="preserve">详见人力资源部须知。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spacing w:before="16"/>
              <w:rPr>
                <w:sz w:val="21"/>
                <w:lang w:eastAsia="en-US"/>
              </w:rPr>
            </w:pPr>
            <w:r>
              <w:rPr>
                <w:sz w:val="21"/>
                <w:lang w:eastAsia="en-US"/>
              </w:rPr>
              <w:t xml:space="preserve">一次性生活安置费 </w:t>
            </w:r>
          </w:p>
        </w:tc>
        <w:tc>
          <w:tcPr>
            <w:tcW w:w="8224" w:type="dxa"/>
          </w:tcPr>
          <w:p>
            <w:pPr>
              <w:pStyle w:val="15"/>
              <w:spacing w:before="16"/>
              <w:rPr>
                <w:sz w:val="21"/>
                <w:lang w:eastAsia="zh-CN"/>
              </w:rPr>
            </w:pPr>
            <w:r>
              <w:rPr>
                <w:sz w:val="21"/>
                <w:lang w:eastAsia="zh-CN"/>
              </w:rPr>
              <w:t xml:space="preserve">客服人员 6000 元；技术工人 5000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spacing w:before="16"/>
              <w:rPr>
                <w:sz w:val="21"/>
                <w:lang w:eastAsia="en-US"/>
              </w:rPr>
            </w:pPr>
            <w:r>
              <w:rPr>
                <w:sz w:val="21"/>
                <w:lang w:eastAsia="en-US"/>
              </w:rPr>
              <w:t xml:space="preserve">原材料仓储费用 </w:t>
            </w:r>
          </w:p>
        </w:tc>
        <w:tc>
          <w:tcPr>
            <w:tcW w:w="8224" w:type="dxa"/>
          </w:tcPr>
          <w:p>
            <w:pPr>
              <w:pStyle w:val="15"/>
              <w:spacing w:before="16"/>
              <w:rPr>
                <w:sz w:val="21"/>
                <w:lang w:eastAsia="zh-CN"/>
              </w:rPr>
            </w:pPr>
            <w:r>
              <w:rPr>
                <w:sz w:val="21"/>
                <w:lang w:eastAsia="zh-CN"/>
              </w:rPr>
              <w:t xml:space="preserve">为保管原材料所发生的成本，原物料库存持有成本=季初原物料存货价值×10%。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spacing w:before="16"/>
              <w:rPr>
                <w:sz w:val="21"/>
                <w:lang w:eastAsia="en-US"/>
              </w:rPr>
            </w:pPr>
            <w:r>
              <w:rPr>
                <w:sz w:val="21"/>
                <w:lang w:eastAsia="en-US"/>
              </w:rPr>
              <w:t xml:space="preserve">产成品仓储费用 </w:t>
            </w:r>
          </w:p>
        </w:tc>
        <w:tc>
          <w:tcPr>
            <w:tcW w:w="8224" w:type="dxa"/>
          </w:tcPr>
          <w:p>
            <w:pPr>
              <w:pStyle w:val="15"/>
              <w:spacing w:before="16"/>
              <w:rPr>
                <w:sz w:val="21"/>
                <w:lang w:eastAsia="zh-CN"/>
              </w:rPr>
            </w:pPr>
            <w:r>
              <w:rPr>
                <w:sz w:val="21"/>
                <w:lang w:eastAsia="zh-CN"/>
              </w:rPr>
              <w:t xml:space="preserve">为保管产成品所发生的成本，产成品库存持有成本=0.5×季末产成品存货数量。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127" w:type="dxa"/>
          </w:tcPr>
          <w:p>
            <w:pPr>
              <w:pStyle w:val="15"/>
              <w:spacing w:before="18"/>
              <w:rPr>
                <w:sz w:val="21"/>
                <w:lang w:eastAsia="en-US"/>
              </w:rPr>
            </w:pPr>
            <w:r>
              <w:rPr>
                <w:sz w:val="21"/>
                <w:lang w:eastAsia="en-US"/>
              </w:rPr>
              <w:t xml:space="preserve">银行利息 </w:t>
            </w:r>
          </w:p>
        </w:tc>
        <w:tc>
          <w:tcPr>
            <w:tcW w:w="8224" w:type="dxa"/>
          </w:tcPr>
          <w:p>
            <w:pPr>
              <w:pStyle w:val="15"/>
              <w:spacing w:before="18"/>
              <w:ind w:right="-15" w:firstLine="408"/>
              <w:rPr>
                <w:sz w:val="21"/>
                <w:lang w:eastAsia="zh-CN"/>
              </w:rPr>
            </w:pPr>
            <w:r>
              <w:rPr>
                <w:spacing w:val="-3"/>
                <w:sz w:val="21"/>
                <w:lang w:eastAsia="zh-CN"/>
              </w:rPr>
              <w:t>正常负债利息=正常负债×(年利率</w:t>
            </w:r>
            <w:r>
              <w:rPr>
                <w:sz w:val="21"/>
                <w:lang w:eastAsia="zh-CN"/>
              </w:rPr>
              <w:t>/4</w:t>
            </w:r>
            <w:r>
              <w:rPr>
                <w:spacing w:val="-3"/>
                <w:sz w:val="21"/>
                <w:lang w:eastAsia="zh-CN"/>
              </w:rPr>
              <w:t>)，非正常负债利息=非正常负债×</w:t>
            </w:r>
            <w:r>
              <w:rPr>
                <w:sz w:val="21"/>
                <w:lang w:eastAsia="zh-CN"/>
              </w:rPr>
              <w:t>4</w:t>
            </w:r>
            <w:r>
              <w:rPr>
                <w:spacing w:val="-1"/>
                <w:sz w:val="21"/>
                <w:lang w:eastAsia="zh-CN"/>
              </w:rPr>
              <w:t>×(年利率</w:t>
            </w:r>
            <w:r>
              <w:rPr>
                <w:sz w:val="21"/>
                <w:lang w:eastAsia="zh-CN"/>
              </w:rPr>
              <w:t>/4)</w:t>
            </w:r>
            <w:r>
              <w:rPr>
                <w:spacing w:val="-82"/>
                <w:sz w:val="21"/>
                <w:lang w:eastAsia="zh-CN"/>
              </w:rPr>
              <w:t>。</w:t>
            </w:r>
            <w:r>
              <w:rPr>
                <w:sz w:val="21"/>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spacing w:before="16"/>
              <w:rPr>
                <w:sz w:val="21"/>
                <w:lang w:eastAsia="en-US"/>
              </w:rPr>
            </w:pPr>
            <w:r>
              <w:rPr>
                <w:sz w:val="21"/>
                <w:lang w:eastAsia="en-US"/>
              </w:rPr>
              <w:t xml:space="preserve">增值税 </w:t>
            </w:r>
          </w:p>
        </w:tc>
        <w:tc>
          <w:tcPr>
            <w:tcW w:w="8224" w:type="dxa"/>
          </w:tcPr>
          <w:p>
            <w:pPr>
              <w:pStyle w:val="15"/>
              <w:spacing w:before="16"/>
              <w:rPr>
                <w:sz w:val="21"/>
                <w:lang w:eastAsia="zh-CN"/>
              </w:rPr>
            </w:pPr>
            <w:r>
              <w:rPr>
                <w:sz w:val="21"/>
                <w:lang w:eastAsia="zh-CN"/>
              </w:rPr>
              <w:t xml:space="preserve">增值税=[销售收入/（1+增值税率）]×增值税率。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spacing w:before="16"/>
              <w:rPr>
                <w:sz w:val="21"/>
                <w:lang w:eastAsia="en-US"/>
              </w:rPr>
            </w:pPr>
            <w:r>
              <w:rPr>
                <w:sz w:val="21"/>
                <w:lang w:eastAsia="en-US"/>
              </w:rPr>
              <w:t xml:space="preserve">附加税 </w:t>
            </w:r>
          </w:p>
        </w:tc>
        <w:tc>
          <w:tcPr>
            <w:tcW w:w="8224" w:type="dxa"/>
          </w:tcPr>
          <w:p>
            <w:pPr>
              <w:pStyle w:val="15"/>
              <w:spacing w:before="16"/>
              <w:rPr>
                <w:sz w:val="21"/>
                <w:lang w:eastAsia="zh-CN"/>
              </w:rPr>
            </w:pPr>
            <w:r>
              <w:rPr>
                <w:sz w:val="21"/>
                <w:lang w:eastAsia="zh-CN"/>
              </w:rPr>
              <w:t xml:space="preserve">附加税=增值税×附加税税率。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27" w:type="dxa"/>
          </w:tcPr>
          <w:p>
            <w:pPr>
              <w:pStyle w:val="15"/>
              <w:spacing w:before="16"/>
              <w:rPr>
                <w:sz w:val="21"/>
                <w:lang w:eastAsia="en-US"/>
              </w:rPr>
            </w:pPr>
            <w:r>
              <w:rPr>
                <w:sz w:val="21"/>
                <w:lang w:eastAsia="en-US"/>
              </w:rPr>
              <w:t xml:space="preserve">公司所得税 </w:t>
            </w:r>
          </w:p>
        </w:tc>
        <w:tc>
          <w:tcPr>
            <w:tcW w:w="8224" w:type="dxa"/>
          </w:tcPr>
          <w:p>
            <w:pPr>
              <w:pStyle w:val="15"/>
              <w:spacing w:before="16"/>
              <w:rPr>
                <w:sz w:val="21"/>
                <w:lang w:eastAsia="zh-CN"/>
              </w:rPr>
            </w:pPr>
            <w:r>
              <w:rPr>
                <w:sz w:val="21"/>
                <w:lang w:eastAsia="zh-CN"/>
              </w:rPr>
              <w:t>公司所得税=[销售收入/（1+增值税率）- 总成本- 附加税]×公司所得税率。其中：总</w:t>
            </w:r>
          </w:p>
          <w:p>
            <w:pPr>
              <w:pStyle w:val="15"/>
              <w:spacing w:before="43"/>
              <w:rPr>
                <w:sz w:val="21"/>
                <w:lang w:eastAsia="zh-CN"/>
              </w:rPr>
            </w:pPr>
            <w:r>
              <w:rPr>
                <w:sz w:val="21"/>
                <w:lang w:eastAsia="zh-CN"/>
              </w:rPr>
              <w:t xml:space="preserve">成本=产品成本+销售费用+管理费用+财务费用。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7" w:type="dxa"/>
          </w:tcPr>
          <w:p>
            <w:pPr>
              <w:pStyle w:val="15"/>
              <w:spacing w:before="16"/>
              <w:rPr>
                <w:sz w:val="21"/>
                <w:lang w:eastAsia="en-US"/>
              </w:rPr>
            </w:pPr>
            <w:r>
              <w:rPr>
                <w:sz w:val="21"/>
                <w:lang w:eastAsia="en-US"/>
              </w:rPr>
              <w:t xml:space="preserve">净利润 </w:t>
            </w:r>
          </w:p>
        </w:tc>
        <w:tc>
          <w:tcPr>
            <w:tcW w:w="8224" w:type="dxa"/>
          </w:tcPr>
          <w:p>
            <w:pPr>
              <w:pStyle w:val="15"/>
              <w:spacing w:before="16"/>
              <w:rPr>
                <w:sz w:val="21"/>
                <w:lang w:eastAsia="zh-CN"/>
              </w:rPr>
            </w:pPr>
            <w:r>
              <w:rPr>
                <w:sz w:val="21"/>
                <w:lang w:eastAsia="zh-CN"/>
              </w:rPr>
              <w:t xml:space="preserve">净利润=销售收入-产品成本-销售费用-管理费用-财务费用-税费。 </w:t>
            </w:r>
          </w:p>
        </w:tc>
      </w:tr>
    </w:tbl>
    <w:p>
      <w:pPr>
        <w:numPr>
          <w:ilvl w:val="0"/>
          <w:numId w:val="1"/>
        </w:numPr>
        <w:spacing w:line="360" w:lineRule="auto"/>
        <w:rPr>
          <w:rFonts w:hint="eastAsia"/>
          <w:bCs/>
        </w:rPr>
      </w:pPr>
      <w:r>
        <w:rPr>
          <w:rFonts w:hint="eastAsia"/>
          <w:bCs/>
        </w:rPr>
        <w:t>评分标准说明</w:t>
      </w:r>
    </w:p>
    <w:p>
      <w:pPr>
        <w:numPr>
          <w:ilvl w:val="0"/>
          <w:numId w:val="0"/>
        </w:numPr>
        <w:spacing w:line="360" w:lineRule="auto"/>
        <w:ind w:firstLine="420" w:firstLineChars="200"/>
        <w:rPr>
          <w:rFonts w:hint="eastAsia"/>
          <w:bCs/>
        </w:rPr>
      </w:pPr>
      <w:r>
        <w:rPr>
          <w:rFonts w:hint="eastAsia"/>
          <w:bCs/>
        </w:rPr>
        <w:t>竞赛评分遵循“公平、公正、公开”的原则。每个季度末系统根据运营规则自动评分，无人为因素干扰并实时列出各参赛团队的运营状况，八个季度运营结束，各赛场成绩按照评分标准自动评分排名。</w:t>
      </w:r>
    </w:p>
    <w:p>
      <w:pPr>
        <w:numPr>
          <w:ilvl w:val="0"/>
          <w:numId w:val="0"/>
        </w:numPr>
        <w:spacing w:line="360" w:lineRule="auto"/>
        <w:ind w:firstLine="420" w:firstLineChars="200"/>
        <w:rPr>
          <w:rFonts w:hint="eastAsia" w:eastAsiaTheme="minorEastAsia"/>
          <w:bCs/>
          <w:lang w:val="en-US" w:eastAsia="zh-CN"/>
        </w:rPr>
      </w:pPr>
      <w:r>
        <w:rPr>
          <w:rFonts w:hint="eastAsia"/>
          <w:bCs/>
        </w:rPr>
        <w:t>数字经济企业运营虚拟仿真大赛参赛队成绩以企业经营绩效得分衡量，经营绩效得分=盈利能力评分+偿债能力评分+发展潜力评分+团队表现评分。竞赛成绩在各组内进行排名，破产企业按照破产季度、净现值排名（后破产企业排名靠前，在同一季度破产按照净现值排名），如净现值一致，按资产负债率排名（资产负债率低排名靠前）。评分标准包括4个一级指标和8个二级指标，具体评分标准如</w:t>
      </w:r>
      <w:r>
        <w:rPr>
          <w:rFonts w:hint="eastAsia"/>
          <w:bCs/>
          <w:lang w:eastAsia="zh-CN"/>
        </w:rPr>
        <w:t>下：</w:t>
      </w:r>
    </w:p>
    <w:p>
      <w:pPr>
        <w:spacing w:line="360" w:lineRule="auto"/>
        <w:rPr>
          <w:bCs/>
        </w:rPr>
      </w:pPr>
      <w:r>
        <w:rPr>
          <w:rFonts w:hint="eastAsia"/>
          <w:bCs/>
        </w:rPr>
        <w:t xml:space="preserve">1、评分指标 </w:t>
      </w:r>
    </w:p>
    <w:tbl>
      <w:tblPr>
        <w:tblStyle w:val="14"/>
        <w:tblpPr w:leftFromText="180" w:rightFromText="180" w:vertAnchor="text" w:horzAnchor="margin" w:tblpXSpec="center" w:tblpY="700"/>
        <w:tblW w:w="10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6"/>
        <w:gridCol w:w="2965"/>
        <w:gridCol w:w="5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546" w:type="dxa"/>
          </w:tcPr>
          <w:p>
            <w:pPr>
              <w:pStyle w:val="15"/>
              <w:spacing w:before="157"/>
              <w:ind w:left="352"/>
              <w:rPr>
                <w:b/>
                <w:sz w:val="21"/>
                <w:lang w:eastAsia="en-US"/>
              </w:rPr>
            </w:pPr>
            <w:r>
              <w:rPr>
                <w:b/>
                <w:sz w:val="21"/>
                <w:lang w:eastAsia="en-US"/>
              </w:rPr>
              <w:t>一级指标</w:t>
            </w:r>
            <w:r>
              <w:rPr>
                <w:b/>
                <w:w w:val="99"/>
                <w:sz w:val="21"/>
                <w:lang w:eastAsia="en-US"/>
              </w:rPr>
              <w:t xml:space="preserve"> </w:t>
            </w:r>
          </w:p>
          <w:p>
            <w:pPr>
              <w:pStyle w:val="15"/>
              <w:spacing w:before="43"/>
              <w:ind w:left="247"/>
              <w:rPr>
                <w:b/>
                <w:sz w:val="21"/>
                <w:lang w:eastAsia="en-US"/>
              </w:rPr>
            </w:pPr>
            <w:r>
              <w:rPr>
                <w:b/>
                <w:sz w:val="21"/>
                <w:lang w:eastAsia="en-US"/>
              </w:rPr>
              <w:t>（满分值）</w:t>
            </w:r>
            <w:r>
              <w:rPr>
                <w:b/>
                <w:w w:val="99"/>
                <w:sz w:val="21"/>
                <w:lang w:eastAsia="en-US"/>
              </w:rPr>
              <w:t xml:space="preserve"> </w:t>
            </w:r>
          </w:p>
        </w:tc>
        <w:tc>
          <w:tcPr>
            <w:tcW w:w="2965" w:type="dxa"/>
          </w:tcPr>
          <w:p>
            <w:pPr>
              <w:pStyle w:val="15"/>
              <w:spacing w:before="157"/>
              <w:ind w:left="1060" w:firstLine="422"/>
              <w:rPr>
                <w:b/>
                <w:sz w:val="21"/>
                <w:lang w:eastAsia="en-US"/>
              </w:rPr>
            </w:pPr>
            <w:r>
              <w:rPr>
                <w:b/>
                <w:sz w:val="21"/>
                <w:lang w:eastAsia="en-US"/>
              </w:rPr>
              <w:t>二级指标</w:t>
            </w:r>
            <w:r>
              <w:rPr>
                <w:b/>
                <w:w w:val="99"/>
                <w:sz w:val="21"/>
                <w:lang w:eastAsia="en-US"/>
              </w:rPr>
              <w:t xml:space="preserve"> </w:t>
            </w:r>
          </w:p>
          <w:p>
            <w:pPr>
              <w:pStyle w:val="15"/>
              <w:spacing w:before="43"/>
              <w:ind w:left="955" w:firstLine="422"/>
              <w:rPr>
                <w:b/>
                <w:sz w:val="21"/>
                <w:lang w:eastAsia="en-US"/>
              </w:rPr>
            </w:pPr>
            <w:r>
              <w:rPr>
                <w:b/>
                <w:sz w:val="21"/>
                <w:lang w:eastAsia="en-US"/>
              </w:rPr>
              <w:t>（满分值）</w:t>
            </w:r>
            <w:r>
              <w:rPr>
                <w:b/>
                <w:w w:val="99"/>
                <w:sz w:val="21"/>
                <w:lang w:eastAsia="en-US"/>
              </w:rPr>
              <w:t xml:space="preserve"> </w:t>
            </w:r>
          </w:p>
        </w:tc>
        <w:tc>
          <w:tcPr>
            <w:tcW w:w="5994" w:type="dxa"/>
          </w:tcPr>
          <w:p>
            <w:pPr>
              <w:pStyle w:val="15"/>
              <w:spacing w:before="5"/>
              <w:ind w:left="0" w:firstLine="480"/>
              <w:rPr>
                <w:sz w:val="24"/>
                <w:lang w:eastAsia="en-US"/>
              </w:rPr>
            </w:pPr>
          </w:p>
          <w:p>
            <w:pPr>
              <w:pStyle w:val="15"/>
              <w:spacing w:before="0"/>
              <w:ind w:left="2607" w:right="2493" w:firstLine="422"/>
              <w:jc w:val="center"/>
              <w:rPr>
                <w:b/>
                <w:sz w:val="21"/>
                <w:lang w:eastAsia="en-US"/>
              </w:rPr>
            </w:pPr>
            <w:r>
              <w:rPr>
                <w:b/>
                <w:sz w:val="21"/>
                <w:lang w:eastAsia="en-US"/>
              </w:rPr>
              <w:t>指标说明</w:t>
            </w:r>
            <w:r>
              <w:rPr>
                <w:b/>
                <w:w w:val="99"/>
                <w:sz w:val="21"/>
                <w:lang w:eastAsia="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46" w:type="dxa"/>
          </w:tcPr>
          <w:p>
            <w:pPr>
              <w:pStyle w:val="15"/>
              <w:ind w:left="352"/>
              <w:rPr>
                <w:b/>
                <w:sz w:val="21"/>
                <w:lang w:eastAsia="en-US"/>
              </w:rPr>
            </w:pPr>
            <w:r>
              <w:rPr>
                <w:b/>
                <w:spacing w:val="-1"/>
                <w:sz w:val="21"/>
                <w:lang w:eastAsia="en-US"/>
              </w:rPr>
              <w:t>盈利能力</w:t>
            </w:r>
            <w:r>
              <w:rPr>
                <w:b/>
                <w:spacing w:val="-1"/>
                <w:w w:val="99"/>
                <w:sz w:val="21"/>
                <w:lang w:eastAsia="en-US"/>
              </w:rPr>
              <w:t xml:space="preserve"> </w:t>
            </w:r>
          </w:p>
          <w:p>
            <w:pPr>
              <w:pStyle w:val="15"/>
              <w:spacing w:before="43"/>
              <w:ind w:firstLine="211" w:firstLineChars="100"/>
              <w:rPr>
                <w:b/>
                <w:sz w:val="21"/>
                <w:lang w:eastAsia="en-US"/>
              </w:rPr>
            </w:pPr>
            <w:r>
              <w:rPr>
                <w:b/>
                <w:sz w:val="21"/>
                <w:lang w:eastAsia="en-US"/>
              </w:rPr>
              <w:t>（80</w:t>
            </w:r>
            <w:r>
              <w:rPr>
                <w:b/>
                <w:spacing w:val="-27"/>
                <w:sz w:val="21"/>
                <w:lang w:eastAsia="en-US"/>
              </w:rPr>
              <w:t xml:space="preserve"> 分</w:t>
            </w:r>
            <w:r>
              <w:rPr>
                <w:b/>
                <w:sz w:val="21"/>
                <w:lang w:eastAsia="en-US"/>
              </w:rPr>
              <w:t>）</w:t>
            </w:r>
            <w:r>
              <w:rPr>
                <w:b/>
                <w:w w:val="99"/>
                <w:sz w:val="21"/>
                <w:lang w:eastAsia="en-US"/>
              </w:rPr>
              <w:t xml:space="preserve"> </w:t>
            </w:r>
          </w:p>
        </w:tc>
        <w:tc>
          <w:tcPr>
            <w:tcW w:w="2965" w:type="dxa"/>
          </w:tcPr>
          <w:p>
            <w:pPr>
              <w:pStyle w:val="15"/>
              <w:spacing w:before="176"/>
              <w:ind w:left="568" w:right="456"/>
              <w:jc w:val="center"/>
              <w:rPr>
                <w:sz w:val="21"/>
                <w:lang w:eastAsia="en-US"/>
              </w:rPr>
            </w:pPr>
            <w:r>
              <w:rPr>
                <w:sz w:val="21"/>
                <w:lang w:eastAsia="en-US"/>
              </w:rPr>
              <w:t xml:space="preserve">净现值（80 分） </w:t>
            </w:r>
          </w:p>
        </w:tc>
        <w:tc>
          <w:tcPr>
            <w:tcW w:w="5994" w:type="dxa"/>
          </w:tcPr>
          <w:p>
            <w:pPr>
              <w:pStyle w:val="15"/>
              <w:spacing w:before="178"/>
              <w:ind w:left="45"/>
              <w:rPr>
                <w:sz w:val="21"/>
                <w:lang w:eastAsia="zh-CN"/>
              </w:rPr>
            </w:pPr>
            <w:r>
              <w:rPr>
                <w:sz w:val="21"/>
                <w:lang w:eastAsia="zh-CN"/>
              </w:rPr>
              <w:t xml:space="preserve">净现值越大，公司盈利能力越强。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546" w:type="dxa"/>
          </w:tcPr>
          <w:p>
            <w:pPr>
              <w:pStyle w:val="15"/>
              <w:spacing w:before="75"/>
              <w:ind w:left="352"/>
              <w:rPr>
                <w:b/>
                <w:sz w:val="21"/>
                <w:lang w:eastAsia="en-US"/>
              </w:rPr>
            </w:pPr>
            <w:r>
              <w:rPr>
                <w:b/>
                <w:spacing w:val="-1"/>
                <w:sz w:val="21"/>
                <w:lang w:eastAsia="en-US"/>
              </w:rPr>
              <w:t>偿债能力</w:t>
            </w:r>
            <w:r>
              <w:rPr>
                <w:b/>
                <w:spacing w:val="-1"/>
                <w:w w:val="99"/>
                <w:sz w:val="21"/>
                <w:lang w:eastAsia="en-US"/>
              </w:rPr>
              <w:t xml:space="preserve"> </w:t>
            </w:r>
          </w:p>
          <w:p>
            <w:pPr>
              <w:pStyle w:val="15"/>
              <w:spacing w:before="43"/>
              <w:ind w:firstLine="211" w:firstLineChars="100"/>
              <w:rPr>
                <w:b/>
                <w:sz w:val="21"/>
                <w:lang w:eastAsia="en-US"/>
              </w:rPr>
            </w:pPr>
            <w:r>
              <w:rPr>
                <w:b/>
                <w:sz w:val="21"/>
                <w:lang w:eastAsia="en-US"/>
              </w:rPr>
              <w:t>（5</w:t>
            </w:r>
            <w:r>
              <w:rPr>
                <w:b/>
                <w:spacing w:val="-27"/>
                <w:sz w:val="21"/>
                <w:lang w:eastAsia="en-US"/>
              </w:rPr>
              <w:t xml:space="preserve"> 分</w:t>
            </w:r>
            <w:r>
              <w:rPr>
                <w:b/>
                <w:sz w:val="21"/>
                <w:lang w:eastAsia="en-US"/>
              </w:rPr>
              <w:t>）</w:t>
            </w:r>
            <w:r>
              <w:rPr>
                <w:b/>
                <w:w w:val="99"/>
                <w:sz w:val="21"/>
                <w:lang w:eastAsia="en-US"/>
              </w:rPr>
              <w:t xml:space="preserve"> </w:t>
            </w:r>
          </w:p>
        </w:tc>
        <w:tc>
          <w:tcPr>
            <w:tcW w:w="2965" w:type="dxa"/>
          </w:tcPr>
          <w:p>
            <w:pPr>
              <w:pStyle w:val="15"/>
              <w:spacing w:before="0"/>
              <w:ind w:left="0" w:firstLine="360"/>
              <w:rPr>
                <w:sz w:val="18"/>
                <w:lang w:eastAsia="en-US"/>
              </w:rPr>
            </w:pPr>
          </w:p>
          <w:p>
            <w:pPr>
              <w:pStyle w:val="15"/>
              <w:spacing w:before="0"/>
              <w:ind w:left="568" w:right="456"/>
              <w:jc w:val="center"/>
              <w:rPr>
                <w:sz w:val="21"/>
                <w:lang w:eastAsia="en-US"/>
              </w:rPr>
            </w:pPr>
            <w:r>
              <w:rPr>
                <w:sz w:val="21"/>
                <w:lang w:eastAsia="en-US"/>
              </w:rPr>
              <w:t xml:space="preserve">资产负债率（5 分） </w:t>
            </w:r>
          </w:p>
        </w:tc>
        <w:tc>
          <w:tcPr>
            <w:tcW w:w="5994" w:type="dxa"/>
          </w:tcPr>
          <w:p>
            <w:pPr>
              <w:pStyle w:val="15"/>
              <w:spacing w:before="75" w:line="278" w:lineRule="auto"/>
              <w:ind w:left="45" w:right="51"/>
              <w:rPr>
                <w:sz w:val="21"/>
                <w:lang w:eastAsia="zh-CN"/>
              </w:rPr>
            </w:pPr>
            <w:r>
              <w:rPr>
                <w:sz w:val="21"/>
                <w:lang w:eastAsia="zh-CN"/>
              </w:rPr>
              <w:t xml:space="preserve">资产负债率=总负债/总资产，资产负债率高低衡量公司偿债能力强弱。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546" w:type="dxa"/>
            <w:vMerge w:val="restart"/>
          </w:tcPr>
          <w:p>
            <w:pPr>
              <w:pStyle w:val="15"/>
              <w:spacing w:before="0"/>
              <w:ind w:left="352"/>
              <w:rPr>
                <w:b/>
                <w:sz w:val="21"/>
                <w:lang w:eastAsia="en-US"/>
              </w:rPr>
            </w:pPr>
            <w:r>
              <w:rPr>
                <w:b/>
                <w:spacing w:val="-1"/>
                <w:sz w:val="21"/>
                <w:lang w:eastAsia="en-US"/>
              </w:rPr>
              <w:t>发展潜力</w:t>
            </w:r>
            <w:r>
              <w:rPr>
                <w:b/>
                <w:spacing w:val="-1"/>
                <w:w w:val="99"/>
                <w:sz w:val="21"/>
                <w:lang w:eastAsia="en-US"/>
              </w:rPr>
              <w:t xml:space="preserve"> </w:t>
            </w:r>
          </w:p>
          <w:p>
            <w:pPr>
              <w:pStyle w:val="15"/>
              <w:spacing w:before="43"/>
              <w:ind w:firstLine="211" w:firstLineChars="100"/>
              <w:rPr>
                <w:b/>
                <w:sz w:val="21"/>
                <w:lang w:eastAsia="en-US"/>
              </w:rPr>
            </w:pPr>
            <w:r>
              <w:rPr>
                <w:b/>
                <w:sz w:val="21"/>
                <w:lang w:eastAsia="en-US"/>
              </w:rPr>
              <w:t>（10</w:t>
            </w:r>
            <w:r>
              <w:rPr>
                <w:b/>
                <w:spacing w:val="-27"/>
                <w:sz w:val="21"/>
                <w:lang w:eastAsia="en-US"/>
              </w:rPr>
              <w:t xml:space="preserve"> 分</w:t>
            </w:r>
            <w:r>
              <w:rPr>
                <w:b/>
                <w:sz w:val="21"/>
                <w:lang w:eastAsia="en-US"/>
              </w:rPr>
              <w:t>）</w:t>
            </w:r>
            <w:r>
              <w:rPr>
                <w:b/>
                <w:w w:val="99"/>
                <w:sz w:val="21"/>
                <w:lang w:eastAsia="en-US"/>
              </w:rPr>
              <w:t xml:space="preserve"> </w:t>
            </w:r>
          </w:p>
        </w:tc>
        <w:tc>
          <w:tcPr>
            <w:tcW w:w="2965" w:type="dxa"/>
          </w:tcPr>
          <w:p>
            <w:pPr>
              <w:pStyle w:val="15"/>
              <w:spacing w:before="154"/>
              <w:ind w:left="568" w:right="456"/>
              <w:jc w:val="center"/>
              <w:rPr>
                <w:sz w:val="21"/>
                <w:lang w:eastAsia="en-US"/>
              </w:rPr>
            </w:pPr>
            <w:r>
              <w:rPr>
                <w:sz w:val="21"/>
                <w:lang w:eastAsia="en-US"/>
              </w:rPr>
              <w:t xml:space="preserve">研发投入（3 分） </w:t>
            </w:r>
          </w:p>
        </w:tc>
        <w:tc>
          <w:tcPr>
            <w:tcW w:w="5994" w:type="dxa"/>
          </w:tcPr>
          <w:p>
            <w:pPr>
              <w:pStyle w:val="15"/>
              <w:spacing w:before="154"/>
              <w:ind w:left="45"/>
              <w:rPr>
                <w:sz w:val="21"/>
                <w:lang w:eastAsia="zh-CN"/>
              </w:rPr>
            </w:pPr>
            <w:r>
              <w:rPr>
                <w:sz w:val="21"/>
                <w:lang w:eastAsia="zh-CN"/>
              </w:rPr>
              <w:t xml:space="preserve">研发投入效果通过产品质量水平高低来衡量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546" w:type="dxa"/>
            <w:vMerge w:val="continue"/>
            <w:tcBorders>
              <w:top w:val="nil"/>
            </w:tcBorders>
          </w:tcPr>
          <w:p>
            <w:pPr>
              <w:autoSpaceDE w:val="0"/>
              <w:autoSpaceDN w:val="0"/>
              <w:rPr>
                <w:sz w:val="2"/>
                <w:szCs w:val="2"/>
                <w:lang w:eastAsia="zh-CN"/>
              </w:rPr>
            </w:pPr>
          </w:p>
        </w:tc>
        <w:tc>
          <w:tcPr>
            <w:tcW w:w="2965" w:type="dxa"/>
          </w:tcPr>
          <w:p>
            <w:pPr>
              <w:pStyle w:val="15"/>
              <w:spacing w:before="145"/>
              <w:ind w:left="568" w:right="456"/>
              <w:jc w:val="center"/>
              <w:rPr>
                <w:sz w:val="21"/>
                <w:lang w:eastAsia="en-US"/>
              </w:rPr>
            </w:pPr>
            <w:r>
              <w:rPr>
                <w:sz w:val="21"/>
                <w:lang w:eastAsia="en-US"/>
              </w:rPr>
              <w:t xml:space="preserve">营销投入（3 分） </w:t>
            </w:r>
          </w:p>
        </w:tc>
        <w:tc>
          <w:tcPr>
            <w:tcW w:w="5994" w:type="dxa"/>
          </w:tcPr>
          <w:p>
            <w:pPr>
              <w:pStyle w:val="15"/>
              <w:spacing w:before="145"/>
              <w:ind w:left="45"/>
              <w:rPr>
                <w:sz w:val="21"/>
                <w:lang w:eastAsia="zh-CN"/>
              </w:rPr>
            </w:pPr>
            <w:r>
              <w:rPr>
                <w:sz w:val="21"/>
                <w:lang w:eastAsia="zh-CN"/>
              </w:rPr>
              <w:t xml:space="preserve">营销投入效果通过产品品牌知名度高低来衡量。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546" w:type="dxa"/>
            <w:vMerge w:val="continue"/>
            <w:tcBorders>
              <w:top w:val="nil"/>
            </w:tcBorders>
          </w:tcPr>
          <w:p>
            <w:pPr>
              <w:autoSpaceDE w:val="0"/>
              <w:autoSpaceDN w:val="0"/>
              <w:rPr>
                <w:sz w:val="2"/>
                <w:szCs w:val="2"/>
                <w:lang w:eastAsia="zh-CN"/>
              </w:rPr>
            </w:pPr>
          </w:p>
        </w:tc>
        <w:tc>
          <w:tcPr>
            <w:tcW w:w="2965" w:type="dxa"/>
          </w:tcPr>
          <w:p>
            <w:pPr>
              <w:pStyle w:val="15"/>
              <w:spacing w:before="8"/>
              <w:ind w:left="0" w:firstLine="280"/>
              <w:rPr>
                <w:sz w:val="14"/>
                <w:lang w:eastAsia="zh-CN"/>
              </w:rPr>
            </w:pPr>
          </w:p>
          <w:p>
            <w:pPr>
              <w:pStyle w:val="15"/>
              <w:spacing w:before="1"/>
              <w:ind w:left="568" w:right="456"/>
              <w:jc w:val="center"/>
              <w:rPr>
                <w:sz w:val="21"/>
                <w:lang w:eastAsia="en-US"/>
              </w:rPr>
            </w:pPr>
            <w:r>
              <w:rPr>
                <w:sz w:val="21"/>
                <w:lang w:eastAsia="en-US"/>
              </w:rPr>
              <w:t xml:space="preserve">市场潜力（4 分） </w:t>
            </w:r>
          </w:p>
        </w:tc>
        <w:tc>
          <w:tcPr>
            <w:tcW w:w="5994" w:type="dxa"/>
          </w:tcPr>
          <w:p>
            <w:pPr>
              <w:pStyle w:val="15"/>
              <w:spacing w:before="8"/>
              <w:ind w:left="0" w:firstLine="280"/>
              <w:rPr>
                <w:sz w:val="14"/>
                <w:lang w:eastAsia="zh-CN"/>
              </w:rPr>
            </w:pPr>
          </w:p>
          <w:p>
            <w:pPr>
              <w:pStyle w:val="15"/>
              <w:spacing w:before="1"/>
              <w:ind w:left="45"/>
              <w:rPr>
                <w:sz w:val="21"/>
                <w:lang w:eastAsia="zh-CN"/>
              </w:rPr>
            </w:pPr>
            <w:r>
              <w:rPr>
                <w:sz w:val="21"/>
                <w:lang w:eastAsia="zh-CN"/>
              </w:rPr>
              <w:t xml:space="preserve">市场潜力通过公司市场占有率高低来衡量。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46" w:type="dxa"/>
            <w:vMerge w:val="restart"/>
          </w:tcPr>
          <w:p>
            <w:pPr>
              <w:pStyle w:val="15"/>
              <w:spacing w:before="0"/>
              <w:ind w:right="21" w:firstLine="211" w:firstLineChars="100"/>
              <w:rPr>
                <w:b/>
                <w:sz w:val="21"/>
                <w:lang w:eastAsia="zh-CN"/>
              </w:rPr>
            </w:pPr>
            <w:r>
              <w:rPr>
                <w:b/>
                <w:sz w:val="21"/>
                <w:lang w:eastAsia="zh-CN"/>
              </w:rPr>
              <w:t>团队表现</w:t>
            </w:r>
            <w:r>
              <w:rPr>
                <w:b/>
                <w:w w:val="99"/>
                <w:sz w:val="21"/>
                <w:lang w:eastAsia="zh-CN"/>
              </w:rPr>
              <w:t xml:space="preserve"> </w:t>
            </w:r>
          </w:p>
          <w:p>
            <w:pPr>
              <w:pStyle w:val="15"/>
              <w:spacing w:before="43" w:line="278" w:lineRule="auto"/>
              <w:ind w:left="141" w:right="21"/>
              <w:rPr>
                <w:b/>
                <w:sz w:val="21"/>
                <w:lang w:eastAsia="zh-CN"/>
              </w:rPr>
            </w:pPr>
            <w:r>
              <w:rPr>
                <w:b/>
                <w:sz w:val="21"/>
                <w:lang w:eastAsia="zh-CN"/>
              </w:rPr>
              <w:t>（满分 5 分， 采用扣分制）</w:t>
            </w:r>
            <w:r>
              <w:rPr>
                <w:b/>
                <w:w w:val="99"/>
                <w:sz w:val="21"/>
                <w:lang w:eastAsia="zh-CN"/>
              </w:rPr>
              <w:t xml:space="preserve"> </w:t>
            </w:r>
          </w:p>
        </w:tc>
        <w:tc>
          <w:tcPr>
            <w:tcW w:w="2965" w:type="dxa"/>
          </w:tcPr>
          <w:p>
            <w:pPr>
              <w:pStyle w:val="15"/>
              <w:spacing w:before="5"/>
              <w:ind w:left="0" w:firstLine="300"/>
              <w:rPr>
                <w:sz w:val="15"/>
                <w:lang w:eastAsia="zh-CN"/>
              </w:rPr>
            </w:pPr>
          </w:p>
          <w:p>
            <w:pPr>
              <w:pStyle w:val="15"/>
              <w:spacing w:before="0"/>
              <w:ind w:left="568" w:right="456"/>
              <w:jc w:val="center"/>
              <w:rPr>
                <w:sz w:val="21"/>
                <w:lang w:eastAsia="en-US"/>
              </w:rPr>
            </w:pPr>
            <w:r>
              <w:rPr>
                <w:sz w:val="21"/>
                <w:lang w:eastAsia="en-US"/>
              </w:rPr>
              <w:t xml:space="preserve">采购表现 </w:t>
            </w:r>
          </w:p>
        </w:tc>
        <w:tc>
          <w:tcPr>
            <w:tcW w:w="5994" w:type="dxa"/>
          </w:tcPr>
          <w:p>
            <w:pPr>
              <w:pStyle w:val="15"/>
              <w:spacing w:before="150"/>
              <w:ind w:left="45"/>
              <w:rPr>
                <w:sz w:val="21"/>
                <w:lang w:eastAsia="zh-CN"/>
              </w:rPr>
            </w:pPr>
            <w:r>
              <w:rPr>
                <w:sz w:val="21"/>
                <w:lang w:eastAsia="zh-CN"/>
              </w:rPr>
              <w:t xml:space="preserve">是否出现原材料非正常采购，每次扣 0.2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46" w:type="dxa"/>
            <w:vMerge w:val="continue"/>
            <w:tcBorders>
              <w:top w:val="nil"/>
            </w:tcBorders>
          </w:tcPr>
          <w:p>
            <w:pPr>
              <w:autoSpaceDE w:val="0"/>
              <w:autoSpaceDN w:val="0"/>
              <w:rPr>
                <w:sz w:val="2"/>
                <w:szCs w:val="2"/>
                <w:lang w:eastAsia="zh-CN"/>
              </w:rPr>
            </w:pPr>
          </w:p>
        </w:tc>
        <w:tc>
          <w:tcPr>
            <w:tcW w:w="2965" w:type="dxa"/>
          </w:tcPr>
          <w:p>
            <w:pPr>
              <w:pStyle w:val="15"/>
              <w:spacing w:before="8"/>
              <w:ind w:left="0" w:firstLine="340"/>
              <w:rPr>
                <w:sz w:val="17"/>
                <w:lang w:eastAsia="zh-CN"/>
              </w:rPr>
            </w:pPr>
          </w:p>
          <w:p>
            <w:pPr>
              <w:pStyle w:val="15"/>
              <w:spacing w:before="0"/>
              <w:ind w:left="568" w:right="456"/>
              <w:jc w:val="center"/>
              <w:rPr>
                <w:sz w:val="21"/>
                <w:lang w:eastAsia="en-US"/>
              </w:rPr>
            </w:pPr>
            <w:r>
              <w:rPr>
                <w:sz w:val="21"/>
                <w:lang w:eastAsia="en-US"/>
              </w:rPr>
              <w:t xml:space="preserve">生产表现 </w:t>
            </w:r>
          </w:p>
        </w:tc>
        <w:tc>
          <w:tcPr>
            <w:tcW w:w="5994" w:type="dxa"/>
          </w:tcPr>
          <w:p>
            <w:pPr>
              <w:pStyle w:val="15"/>
              <w:spacing w:before="25"/>
              <w:ind w:left="45"/>
              <w:rPr>
                <w:sz w:val="21"/>
                <w:lang w:eastAsia="zh-CN"/>
              </w:rPr>
            </w:pPr>
            <w:r>
              <w:rPr>
                <w:sz w:val="21"/>
                <w:lang w:eastAsia="zh-CN"/>
              </w:rPr>
              <w:t>计划生产量与实际生产量不符（偏离量大于等于 10 个）每次扣</w:t>
            </w:r>
          </w:p>
          <w:p>
            <w:pPr>
              <w:pStyle w:val="15"/>
              <w:spacing w:before="43"/>
              <w:ind w:left="45"/>
              <w:rPr>
                <w:sz w:val="21"/>
                <w:lang w:eastAsia="en-US"/>
              </w:rPr>
            </w:pPr>
            <w:r>
              <w:rPr>
                <w:sz w:val="21"/>
                <w:lang w:eastAsia="en-US"/>
              </w:rPr>
              <w:t xml:space="preserve">0.5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46" w:type="dxa"/>
            <w:vMerge w:val="continue"/>
            <w:tcBorders>
              <w:top w:val="nil"/>
            </w:tcBorders>
          </w:tcPr>
          <w:p>
            <w:pPr>
              <w:autoSpaceDE w:val="0"/>
              <w:autoSpaceDN w:val="0"/>
              <w:rPr>
                <w:sz w:val="2"/>
                <w:szCs w:val="2"/>
                <w:lang w:eastAsia="en-US"/>
              </w:rPr>
            </w:pPr>
          </w:p>
        </w:tc>
        <w:tc>
          <w:tcPr>
            <w:tcW w:w="2965" w:type="dxa"/>
            <w:vMerge w:val="restart"/>
          </w:tcPr>
          <w:p>
            <w:pPr>
              <w:pStyle w:val="15"/>
              <w:spacing w:before="0"/>
              <w:ind w:left="0" w:firstLine="400"/>
              <w:rPr>
                <w:sz w:val="20"/>
                <w:lang w:eastAsia="en-US"/>
              </w:rPr>
            </w:pPr>
          </w:p>
          <w:p>
            <w:pPr>
              <w:pStyle w:val="15"/>
              <w:spacing w:before="6"/>
              <w:ind w:left="0" w:firstLine="480"/>
              <w:rPr>
                <w:sz w:val="24"/>
                <w:lang w:eastAsia="en-US"/>
              </w:rPr>
            </w:pPr>
          </w:p>
          <w:p>
            <w:pPr>
              <w:pStyle w:val="15"/>
              <w:spacing w:before="0"/>
              <w:ind w:left="1060"/>
              <w:rPr>
                <w:sz w:val="21"/>
                <w:lang w:eastAsia="en-US"/>
              </w:rPr>
            </w:pPr>
            <w:r>
              <w:rPr>
                <w:sz w:val="21"/>
                <w:lang w:eastAsia="en-US"/>
              </w:rPr>
              <w:t xml:space="preserve">财务表现 </w:t>
            </w:r>
          </w:p>
        </w:tc>
        <w:tc>
          <w:tcPr>
            <w:tcW w:w="5994" w:type="dxa"/>
          </w:tcPr>
          <w:p>
            <w:pPr>
              <w:pStyle w:val="15"/>
              <w:ind w:left="59" w:firstLine="388"/>
              <w:rPr>
                <w:sz w:val="21"/>
                <w:lang w:eastAsia="zh-CN"/>
              </w:rPr>
            </w:pPr>
            <w:r>
              <w:rPr>
                <w:spacing w:val="-8"/>
                <w:sz w:val="21"/>
                <w:lang w:eastAsia="zh-CN"/>
              </w:rPr>
              <w:t>非正常负债数值</w:t>
            </w:r>
            <w:r>
              <w:rPr>
                <w:sz w:val="21"/>
                <w:lang w:eastAsia="zh-CN"/>
              </w:rPr>
              <w:t>（</w:t>
            </w:r>
            <w:r>
              <w:rPr>
                <w:spacing w:val="-2"/>
                <w:sz w:val="21"/>
                <w:lang w:eastAsia="zh-CN"/>
              </w:rPr>
              <w:t>万元</w:t>
            </w:r>
            <w:r>
              <w:rPr>
                <w:spacing w:val="-39"/>
                <w:sz w:val="21"/>
                <w:lang w:eastAsia="zh-CN"/>
              </w:rPr>
              <w:t>）</w:t>
            </w:r>
            <w:r>
              <w:rPr>
                <w:spacing w:val="-3"/>
                <w:sz w:val="21"/>
                <w:lang w:eastAsia="zh-CN"/>
              </w:rPr>
              <w:t>按区间分次扣分如下</w:t>
            </w:r>
            <w:r>
              <w:rPr>
                <w:spacing w:val="-145"/>
                <w:sz w:val="21"/>
                <w:lang w:eastAsia="zh-CN"/>
              </w:rPr>
              <w:t>：</w:t>
            </w:r>
            <w:r>
              <w:rPr>
                <w:spacing w:val="-2"/>
                <w:sz w:val="21"/>
                <w:lang w:eastAsia="zh-CN"/>
              </w:rPr>
              <w:t>（</w:t>
            </w:r>
            <w:r>
              <w:rPr>
                <w:sz w:val="21"/>
                <w:lang w:eastAsia="zh-CN"/>
              </w:rPr>
              <w:t>50</w:t>
            </w:r>
            <w:r>
              <w:rPr>
                <w:spacing w:val="-39"/>
                <w:sz w:val="21"/>
                <w:lang w:eastAsia="zh-CN"/>
              </w:rPr>
              <w:t>，</w:t>
            </w:r>
            <w:r>
              <w:rPr>
                <w:spacing w:val="-3"/>
                <w:sz w:val="21"/>
                <w:lang w:eastAsia="zh-CN"/>
              </w:rPr>
              <w:t>1</w:t>
            </w:r>
            <w:r>
              <w:rPr>
                <w:sz w:val="21"/>
                <w:lang w:eastAsia="zh-CN"/>
              </w:rPr>
              <w:t>00</w:t>
            </w:r>
            <w:r>
              <w:rPr>
                <w:spacing w:val="-1"/>
                <w:sz w:val="21"/>
                <w:lang w:eastAsia="zh-CN"/>
              </w:rPr>
              <w:t>]扣</w:t>
            </w:r>
            <w:r>
              <w:rPr>
                <w:spacing w:val="-55"/>
                <w:sz w:val="21"/>
                <w:lang w:eastAsia="zh-CN"/>
              </w:rPr>
              <w:t xml:space="preserve"> </w:t>
            </w:r>
            <w:r>
              <w:rPr>
                <w:sz w:val="21"/>
                <w:lang w:eastAsia="zh-CN"/>
              </w:rPr>
              <w:t>0.05</w:t>
            </w:r>
          </w:p>
          <w:p>
            <w:pPr>
              <w:pStyle w:val="15"/>
              <w:spacing w:before="43"/>
              <w:ind w:left="45" w:firstLine="208"/>
              <w:rPr>
                <w:sz w:val="21"/>
                <w:lang w:eastAsia="zh-CN"/>
              </w:rPr>
            </w:pPr>
            <w:r>
              <w:rPr>
                <w:spacing w:val="-53"/>
                <w:sz w:val="21"/>
                <w:lang w:eastAsia="zh-CN"/>
              </w:rPr>
              <w:t>分；</w:t>
            </w:r>
            <w:r>
              <w:rPr>
                <w:sz w:val="21"/>
                <w:lang w:eastAsia="zh-CN"/>
              </w:rPr>
              <w:t>（</w:t>
            </w:r>
            <w:r>
              <w:rPr>
                <w:spacing w:val="-3"/>
                <w:sz w:val="21"/>
                <w:lang w:eastAsia="zh-CN"/>
              </w:rPr>
              <w:t>1</w:t>
            </w:r>
            <w:r>
              <w:rPr>
                <w:sz w:val="21"/>
                <w:lang w:eastAsia="zh-CN"/>
              </w:rPr>
              <w:t>0</w:t>
            </w:r>
            <w:r>
              <w:rPr>
                <w:spacing w:val="-1"/>
                <w:sz w:val="21"/>
                <w:lang w:eastAsia="zh-CN"/>
              </w:rPr>
              <w:t>0</w:t>
            </w:r>
            <w:r>
              <w:rPr>
                <w:spacing w:val="-2"/>
                <w:sz w:val="21"/>
                <w:lang w:eastAsia="zh-CN"/>
              </w:rPr>
              <w:t>，</w:t>
            </w:r>
            <w:r>
              <w:rPr>
                <w:sz w:val="21"/>
                <w:lang w:eastAsia="zh-CN"/>
              </w:rPr>
              <w:t>200</w:t>
            </w:r>
            <w:r>
              <w:rPr>
                <w:spacing w:val="-2"/>
                <w:sz w:val="21"/>
                <w:lang w:eastAsia="zh-CN"/>
              </w:rPr>
              <w:t>] 扣</w:t>
            </w:r>
            <w:r>
              <w:rPr>
                <w:spacing w:val="-55"/>
                <w:sz w:val="21"/>
                <w:lang w:eastAsia="zh-CN"/>
              </w:rPr>
              <w:t xml:space="preserve"> </w:t>
            </w:r>
            <w:r>
              <w:rPr>
                <w:sz w:val="21"/>
                <w:lang w:eastAsia="zh-CN"/>
              </w:rPr>
              <w:t>0.10</w:t>
            </w:r>
            <w:r>
              <w:rPr>
                <w:spacing w:val="-55"/>
                <w:sz w:val="21"/>
                <w:lang w:eastAsia="zh-CN"/>
              </w:rPr>
              <w:t xml:space="preserve"> </w:t>
            </w:r>
            <w:r>
              <w:rPr>
                <w:spacing w:val="-53"/>
                <w:sz w:val="21"/>
                <w:lang w:eastAsia="zh-CN"/>
              </w:rPr>
              <w:t>分；</w:t>
            </w:r>
            <w:r>
              <w:rPr>
                <w:sz w:val="21"/>
                <w:lang w:eastAsia="zh-CN"/>
              </w:rPr>
              <w:t>（</w:t>
            </w:r>
            <w:r>
              <w:rPr>
                <w:spacing w:val="-3"/>
                <w:sz w:val="21"/>
                <w:lang w:eastAsia="zh-CN"/>
              </w:rPr>
              <w:t>2</w:t>
            </w:r>
            <w:r>
              <w:rPr>
                <w:sz w:val="21"/>
                <w:lang w:eastAsia="zh-CN"/>
              </w:rPr>
              <w:t>0</w:t>
            </w:r>
            <w:r>
              <w:rPr>
                <w:spacing w:val="-1"/>
                <w:sz w:val="21"/>
                <w:lang w:eastAsia="zh-CN"/>
              </w:rPr>
              <w:t>0</w:t>
            </w:r>
            <w:r>
              <w:rPr>
                <w:spacing w:val="-3"/>
                <w:sz w:val="21"/>
                <w:lang w:eastAsia="zh-CN"/>
              </w:rPr>
              <w:t>，+∞</w:t>
            </w:r>
            <w:r>
              <w:rPr>
                <w:sz w:val="21"/>
                <w:lang w:eastAsia="zh-CN"/>
              </w:rPr>
              <w:t>）扣</w:t>
            </w:r>
            <w:r>
              <w:rPr>
                <w:spacing w:val="-55"/>
                <w:sz w:val="21"/>
                <w:lang w:eastAsia="zh-CN"/>
              </w:rPr>
              <w:t xml:space="preserve"> </w:t>
            </w:r>
            <w:r>
              <w:rPr>
                <w:sz w:val="21"/>
                <w:lang w:eastAsia="zh-CN"/>
              </w:rPr>
              <w:t>0.15</w:t>
            </w:r>
            <w:r>
              <w:rPr>
                <w:spacing w:val="-55"/>
                <w:sz w:val="21"/>
                <w:lang w:eastAsia="zh-CN"/>
              </w:rPr>
              <w:t xml:space="preserve"> </w:t>
            </w:r>
            <w:r>
              <w:rPr>
                <w:sz w:val="21"/>
                <w:lang w:eastAsia="zh-CN"/>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546" w:type="dxa"/>
            <w:vMerge w:val="continue"/>
            <w:tcBorders>
              <w:top w:val="nil"/>
            </w:tcBorders>
          </w:tcPr>
          <w:p>
            <w:pPr>
              <w:autoSpaceDE w:val="0"/>
              <w:autoSpaceDN w:val="0"/>
              <w:rPr>
                <w:sz w:val="2"/>
                <w:szCs w:val="2"/>
                <w:lang w:eastAsia="zh-CN"/>
              </w:rPr>
            </w:pPr>
          </w:p>
        </w:tc>
        <w:tc>
          <w:tcPr>
            <w:tcW w:w="2965" w:type="dxa"/>
            <w:vMerge w:val="continue"/>
            <w:tcBorders>
              <w:top w:val="nil"/>
            </w:tcBorders>
          </w:tcPr>
          <w:p>
            <w:pPr>
              <w:autoSpaceDE w:val="0"/>
              <w:autoSpaceDN w:val="0"/>
              <w:rPr>
                <w:sz w:val="2"/>
                <w:szCs w:val="2"/>
                <w:lang w:eastAsia="zh-CN"/>
              </w:rPr>
            </w:pPr>
          </w:p>
        </w:tc>
        <w:tc>
          <w:tcPr>
            <w:tcW w:w="5994" w:type="dxa"/>
          </w:tcPr>
          <w:p>
            <w:pPr>
              <w:pStyle w:val="15"/>
              <w:spacing w:before="49"/>
              <w:ind w:left="45" w:firstLine="412"/>
              <w:rPr>
                <w:sz w:val="21"/>
                <w:lang w:eastAsia="zh-CN"/>
              </w:rPr>
            </w:pPr>
            <w:r>
              <w:rPr>
                <w:spacing w:val="-2"/>
                <w:sz w:val="21"/>
                <w:lang w:eastAsia="zh-CN"/>
              </w:rPr>
              <w:t>借款剩余值</w:t>
            </w:r>
            <w:r>
              <w:rPr>
                <w:sz w:val="21"/>
                <w:lang w:eastAsia="zh-CN"/>
              </w:rPr>
              <w:t>（</w:t>
            </w:r>
            <w:r>
              <w:rPr>
                <w:spacing w:val="-2"/>
                <w:sz w:val="21"/>
                <w:lang w:eastAsia="zh-CN"/>
              </w:rPr>
              <w:t>万元</w:t>
            </w:r>
            <w:r>
              <w:rPr>
                <w:spacing w:val="-3"/>
                <w:sz w:val="21"/>
                <w:lang w:eastAsia="zh-CN"/>
              </w:rPr>
              <w:t>）</w:t>
            </w:r>
            <w:r>
              <w:rPr>
                <w:spacing w:val="-14"/>
                <w:sz w:val="21"/>
                <w:lang w:eastAsia="zh-CN"/>
              </w:rPr>
              <w:t>按区间分次扣分如下：</w:t>
            </w:r>
            <w:r>
              <w:rPr>
                <w:sz w:val="21"/>
                <w:lang w:eastAsia="zh-CN"/>
              </w:rPr>
              <w:t>（</w:t>
            </w:r>
            <w:r>
              <w:rPr>
                <w:spacing w:val="-3"/>
                <w:sz w:val="21"/>
                <w:lang w:eastAsia="zh-CN"/>
              </w:rPr>
              <w:t>1</w:t>
            </w:r>
            <w:r>
              <w:rPr>
                <w:sz w:val="21"/>
                <w:lang w:eastAsia="zh-CN"/>
              </w:rPr>
              <w:t>0</w:t>
            </w:r>
            <w:r>
              <w:rPr>
                <w:spacing w:val="-1"/>
                <w:sz w:val="21"/>
                <w:lang w:eastAsia="zh-CN"/>
              </w:rPr>
              <w:t>0</w:t>
            </w:r>
            <w:r>
              <w:rPr>
                <w:spacing w:val="-3"/>
                <w:sz w:val="21"/>
                <w:lang w:eastAsia="zh-CN"/>
              </w:rPr>
              <w:t>，2</w:t>
            </w:r>
            <w:r>
              <w:rPr>
                <w:sz w:val="21"/>
                <w:lang w:eastAsia="zh-CN"/>
              </w:rPr>
              <w:t>00</w:t>
            </w:r>
            <w:r>
              <w:rPr>
                <w:spacing w:val="-1"/>
                <w:sz w:val="21"/>
                <w:lang w:eastAsia="zh-CN"/>
              </w:rPr>
              <w:t>]扣</w:t>
            </w:r>
            <w:r>
              <w:rPr>
                <w:spacing w:val="-55"/>
                <w:sz w:val="21"/>
                <w:lang w:eastAsia="zh-CN"/>
              </w:rPr>
              <w:t xml:space="preserve"> </w:t>
            </w:r>
            <w:r>
              <w:rPr>
                <w:sz w:val="21"/>
                <w:lang w:eastAsia="zh-CN"/>
              </w:rPr>
              <w:t>0.05</w:t>
            </w:r>
          </w:p>
          <w:p>
            <w:pPr>
              <w:pStyle w:val="15"/>
              <w:spacing w:before="43"/>
              <w:ind w:left="45" w:firstLine="208"/>
              <w:rPr>
                <w:sz w:val="21"/>
                <w:lang w:eastAsia="zh-CN"/>
              </w:rPr>
            </w:pPr>
            <w:r>
              <w:rPr>
                <w:spacing w:val="-53"/>
                <w:sz w:val="21"/>
                <w:lang w:eastAsia="zh-CN"/>
              </w:rPr>
              <w:t>分；</w:t>
            </w:r>
            <w:r>
              <w:rPr>
                <w:sz w:val="21"/>
                <w:lang w:eastAsia="zh-CN"/>
              </w:rPr>
              <w:t>（</w:t>
            </w:r>
            <w:r>
              <w:rPr>
                <w:spacing w:val="-3"/>
                <w:sz w:val="21"/>
                <w:lang w:eastAsia="zh-CN"/>
              </w:rPr>
              <w:t>2</w:t>
            </w:r>
            <w:r>
              <w:rPr>
                <w:sz w:val="21"/>
                <w:lang w:eastAsia="zh-CN"/>
              </w:rPr>
              <w:t>0</w:t>
            </w:r>
            <w:r>
              <w:rPr>
                <w:spacing w:val="-1"/>
                <w:sz w:val="21"/>
                <w:lang w:eastAsia="zh-CN"/>
              </w:rPr>
              <w:t>0</w:t>
            </w:r>
            <w:r>
              <w:rPr>
                <w:spacing w:val="-2"/>
                <w:sz w:val="21"/>
                <w:lang w:eastAsia="zh-CN"/>
              </w:rPr>
              <w:t>，</w:t>
            </w:r>
            <w:r>
              <w:rPr>
                <w:sz w:val="21"/>
                <w:lang w:eastAsia="zh-CN"/>
              </w:rPr>
              <w:t>300</w:t>
            </w:r>
            <w:r>
              <w:rPr>
                <w:spacing w:val="-2"/>
                <w:sz w:val="21"/>
                <w:lang w:eastAsia="zh-CN"/>
              </w:rPr>
              <w:t>]扣</w:t>
            </w:r>
            <w:r>
              <w:rPr>
                <w:spacing w:val="-53"/>
                <w:sz w:val="21"/>
                <w:lang w:eastAsia="zh-CN"/>
              </w:rPr>
              <w:t xml:space="preserve"> </w:t>
            </w:r>
            <w:r>
              <w:rPr>
                <w:spacing w:val="-3"/>
                <w:sz w:val="21"/>
                <w:lang w:eastAsia="zh-CN"/>
              </w:rPr>
              <w:t>0</w:t>
            </w:r>
            <w:r>
              <w:rPr>
                <w:sz w:val="21"/>
                <w:lang w:eastAsia="zh-CN"/>
              </w:rPr>
              <w:t>.10</w:t>
            </w:r>
            <w:r>
              <w:rPr>
                <w:spacing w:val="-55"/>
                <w:sz w:val="21"/>
                <w:lang w:eastAsia="zh-CN"/>
              </w:rPr>
              <w:t xml:space="preserve"> 分；</w:t>
            </w:r>
            <w:r>
              <w:rPr>
                <w:spacing w:val="-1"/>
                <w:sz w:val="21"/>
                <w:lang w:eastAsia="zh-CN"/>
              </w:rPr>
              <w:t>（</w:t>
            </w:r>
            <w:r>
              <w:rPr>
                <w:sz w:val="21"/>
                <w:lang w:eastAsia="zh-CN"/>
              </w:rPr>
              <w:t>30</w:t>
            </w:r>
            <w:r>
              <w:rPr>
                <w:spacing w:val="-3"/>
                <w:sz w:val="21"/>
                <w:lang w:eastAsia="zh-CN"/>
              </w:rPr>
              <w:t>0</w:t>
            </w:r>
            <w:r>
              <w:rPr>
                <w:spacing w:val="-2"/>
                <w:sz w:val="21"/>
                <w:lang w:eastAsia="zh-CN"/>
              </w:rPr>
              <w:t>，+∞</w:t>
            </w:r>
            <w:r>
              <w:rPr>
                <w:spacing w:val="-3"/>
                <w:sz w:val="21"/>
                <w:lang w:eastAsia="zh-CN"/>
              </w:rPr>
              <w:t>）</w:t>
            </w:r>
            <w:r>
              <w:rPr>
                <w:sz w:val="21"/>
                <w:lang w:eastAsia="zh-CN"/>
              </w:rPr>
              <w:t>扣</w:t>
            </w:r>
            <w:r>
              <w:rPr>
                <w:spacing w:val="-52"/>
                <w:sz w:val="21"/>
                <w:lang w:eastAsia="zh-CN"/>
              </w:rPr>
              <w:t xml:space="preserve"> </w:t>
            </w:r>
            <w:r>
              <w:rPr>
                <w:sz w:val="21"/>
                <w:lang w:eastAsia="zh-CN"/>
              </w:rPr>
              <w:t>0</w:t>
            </w:r>
            <w:r>
              <w:rPr>
                <w:spacing w:val="-3"/>
                <w:sz w:val="21"/>
                <w:lang w:eastAsia="zh-CN"/>
              </w:rPr>
              <w:t>.</w:t>
            </w:r>
            <w:r>
              <w:rPr>
                <w:sz w:val="21"/>
                <w:lang w:eastAsia="zh-CN"/>
              </w:rPr>
              <w:t>15</w:t>
            </w:r>
            <w:r>
              <w:rPr>
                <w:spacing w:val="-53"/>
                <w:sz w:val="21"/>
                <w:lang w:eastAsia="zh-CN"/>
              </w:rPr>
              <w:t xml:space="preserve"> </w:t>
            </w:r>
            <w:r>
              <w:rPr>
                <w:spacing w:val="-2"/>
                <w:sz w:val="21"/>
                <w:lang w:eastAsia="zh-CN"/>
              </w:rPr>
              <w:t xml:space="preserve">分。 </w:t>
            </w:r>
          </w:p>
        </w:tc>
      </w:tr>
    </w:tbl>
    <w:p>
      <w:pPr>
        <w:spacing w:line="360" w:lineRule="auto"/>
        <w:rPr>
          <w:bCs/>
        </w:rPr>
      </w:pPr>
    </w:p>
    <w:p>
      <w:pPr>
        <w:spacing w:line="360" w:lineRule="auto"/>
        <w:rPr>
          <w:bCs/>
        </w:rPr>
      </w:pPr>
      <w:r>
        <w:rPr>
          <w:bCs/>
        </w:rPr>
        <w:t>2、关于盈利能力指标</w:t>
      </w:r>
    </w:p>
    <w:p>
      <w:pPr>
        <w:spacing w:line="360" w:lineRule="auto"/>
        <w:ind w:firstLine="420" w:firstLineChars="200"/>
        <w:rPr>
          <w:bCs/>
        </w:rPr>
      </w:pPr>
      <w:r>
        <w:rPr>
          <w:bCs/>
        </w:rPr>
        <w:drawing>
          <wp:anchor distT="0" distB="0" distL="0" distR="0" simplePos="0" relativeHeight="251662336" behindDoc="0" locked="0" layoutInCell="1" allowOverlap="1">
            <wp:simplePos x="0" y="0"/>
            <wp:positionH relativeFrom="page">
              <wp:posOffset>1144270</wp:posOffset>
            </wp:positionH>
            <wp:positionV relativeFrom="paragraph">
              <wp:posOffset>366395</wp:posOffset>
            </wp:positionV>
            <wp:extent cx="4119245" cy="351790"/>
            <wp:effectExtent l="0" t="0" r="0" b="0"/>
            <wp:wrapTopAndBottom/>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a:picLocks noChangeAspect="1"/>
                    </pic:cNvPicPr>
                  </pic:nvPicPr>
                  <pic:blipFill>
                    <a:blip r:embed="rId6" cstate="print"/>
                    <a:stretch>
                      <a:fillRect/>
                    </a:stretch>
                  </pic:blipFill>
                  <pic:spPr>
                    <a:xfrm>
                      <a:off x="0" y="0"/>
                      <a:ext cx="4119137" cy="352044"/>
                    </a:xfrm>
                    <a:prstGeom prst="rect">
                      <a:avLst/>
                    </a:prstGeom>
                  </pic:spPr>
                </pic:pic>
              </a:graphicData>
            </a:graphic>
          </wp:anchor>
        </w:drawing>
      </w:r>
      <w:r>
        <w:rPr>
          <w:bCs/>
        </w:rPr>
        <w:t>净现值越大，公司盈利能力越强，评分越高。</w:t>
      </w:r>
    </w:p>
    <w:p>
      <w:pPr>
        <w:spacing w:line="360" w:lineRule="auto"/>
        <w:rPr>
          <w:bCs/>
        </w:rPr>
      </w:pPr>
    </w:p>
    <w:p>
      <w:pPr>
        <w:spacing w:line="360" w:lineRule="auto"/>
        <w:ind w:firstLine="420" w:firstLineChars="200"/>
        <w:rPr>
          <w:bCs/>
        </w:rPr>
      </w:pPr>
      <w:r>
        <w:rPr>
          <w:bCs/>
        </w:rPr>
        <w:drawing>
          <wp:anchor distT="0" distB="0" distL="0" distR="0" simplePos="0" relativeHeight="251663360" behindDoc="0" locked="0" layoutInCell="1" allowOverlap="1">
            <wp:simplePos x="0" y="0"/>
            <wp:positionH relativeFrom="page">
              <wp:posOffset>1141095</wp:posOffset>
            </wp:positionH>
            <wp:positionV relativeFrom="paragraph">
              <wp:posOffset>408940</wp:posOffset>
            </wp:positionV>
            <wp:extent cx="2693035" cy="334010"/>
            <wp:effectExtent l="0" t="0" r="0" b="0"/>
            <wp:wrapTopAndBottom/>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pic:cNvPicPr>
                      <a:picLocks noChangeAspect="1"/>
                    </pic:cNvPicPr>
                  </pic:nvPicPr>
                  <pic:blipFill>
                    <a:blip r:embed="rId7" cstate="print"/>
                    <a:stretch>
                      <a:fillRect/>
                    </a:stretch>
                  </pic:blipFill>
                  <pic:spPr>
                    <a:xfrm>
                      <a:off x="0" y="0"/>
                      <a:ext cx="2692901" cy="333756"/>
                    </a:xfrm>
                    <a:prstGeom prst="rect">
                      <a:avLst/>
                    </a:prstGeom>
                  </pic:spPr>
                </pic:pic>
              </a:graphicData>
            </a:graphic>
          </wp:anchor>
        </w:drawing>
      </w:r>
      <w:r>
        <w:rPr>
          <w:bCs/>
        </w:rPr>
        <w:t>其中，k 表示折现率，由组委会根据具体情况设置，n 表示经营季度数。</w:t>
      </w:r>
    </w:p>
    <w:p>
      <w:pPr>
        <w:spacing w:line="360" w:lineRule="auto"/>
        <w:rPr>
          <w:bCs/>
        </w:rPr>
      </w:pPr>
      <w:r>
        <w:rPr>
          <w:rFonts w:hint="eastAsia"/>
          <w:bCs/>
        </w:rPr>
        <w:t>盈利能力评分=净现值评分。</w:t>
      </w:r>
    </w:p>
    <w:p>
      <w:pPr>
        <w:spacing w:line="360" w:lineRule="auto"/>
        <w:ind w:firstLine="420" w:firstLineChars="200"/>
        <w:rPr>
          <w:bCs/>
        </w:rPr>
      </w:pPr>
      <w:r>
        <w:rPr>
          <w:rFonts w:hint="eastAsia"/>
          <w:bCs/>
        </w:rPr>
        <w:t>如果该公司第 n 季末净现值小于等于 0 或者第 n 季末最高净现值小于等于 0，则净现值评分为 0，盈利能力评分也为 0。</w:t>
      </w:r>
    </w:p>
    <w:p>
      <w:pPr>
        <w:spacing w:line="360" w:lineRule="auto"/>
        <w:rPr>
          <w:bCs/>
        </w:rPr>
      </w:pPr>
      <w:r>
        <w:rPr>
          <w:rFonts w:hint="eastAsia"/>
          <w:bCs/>
        </w:rPr>
        <w:t>3、关于偿债能力指标</w:t>
      </w:r>
    </w:p>
    <w:p>
      <w:pPr>
        <w:spacing w:line="360" w:lineRule="auto"/>
        <w:ind w:firstLine="420" w:firstLineChars="200"/>
        <w:rPr>
          <w:bCs/>
        </w:rPr>
      </w:pPr>
      <w:r>
        <w:rPr>
          <w:rFonts w:hint="eastAsia"/>
          <w:bCs/>
        </w:rPr>
        <w:t>偿债能力由资产负债率衡量，资产负债率应该控制在一定的合理区间，具体评分标准如下：</w:t>
      </w:r>
    </w:p>
    <w:tbl>
      <w:tblPr>
        <w:tblStyle w:val="14"/>
        <w:tblW w:w="0" w:type="auto"/>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7"/>
        <w:gridCol w:w="1308"/>
        <w:gridCol w:w="1231"/>
        <w:gridCol w:w="1178"/>
        <w:gridCol w:w="127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757" w:type="dxa"/>
          </w:tcPr>
          <w:p>
            <w:pPr>
              <w:pStyle w:val="15"/>
              <w:spacing w:before="65"/>
              <w:ind w:left="543" w:right="113"/>
              <w:jc w:val="center"/>
              <w:rPr>
                <w:sz w:val="21"/>
                <w:lang w:eastAsia="en-US"/>
              </w:rPr>
            </w:pPr>
            <w:r>
              <w:rPr>
                <w:sz w:val="21"/>
                <w:lang w:eastAsia="en-US"/>
              </w:rPr>
              <w:t>资产负债率</w:t>
            </w:r>
          </w:p>
        </w:tc>
        <w:tc>
          <w:tcPr>
            <w:tcW w:w="1308" w:type="dxa"/>
          </w:tcPr>
          <w:p>
            <w:pPr>
              <w:pStyle w:val="15"/>
              <w:spacing w:before="71"/>
              <w:ind w:left="0" w:right="341"/>
              <w:jc w:val="right"/>
              <w:rPr>
                <w:rFonts w:ascii="Calibri"/>
                <w:sz w:val="21"/>
                <w:lang w:eastAsia="en-US"/>
              </w:rPr>
            </w:pPr>
            <w:r>
              <w:rPr>
                <w:rFonts w:ascii="Calibri"/>
                <w:sz w:val="21"/>
                <w:lang w:eastAsia="en-US"/>
              </w:rPr>
              <w:t>[0, 0.6]</w:t>
            </w:r>
          </w:p>
        </w:tc>
        <w:tc>
          <w:tcPr>
            <w:tcW w:w="1231" w:type="dxa"/>
          </w:tcPr>
          <w:p>
            <w:pPr>
              <w:pStyle w:val="15"/>
              <w:spacing w:before="71"/>
              <w:ind w:left="0" w:right="245"/>
              <w:jc w:val="right"/>
              <w:rPr>
                <w:rFonts w:ascii="Calibri"/>
                <w:sz w:val="21"/>
                <w:lang w:eastAsia="en-US"/>
              </w:rPr>
            </w:pPr>
            <w:r>
              <w:rPr>
                <w:rFonts w:ascii="Calibri"/>
                <w:sz w:val="21"/>
                <w:lang w:eastAsia="en-US"/>
              </w:rPr>
              <w:t>(0.6,0.7]</w:t>
            </w:r>
          </w:p>
        </w:tc>
        <w:tc>
          <w:tcPr>
            <w:tcW w:w="1178" w:type="dxa"/>
          </w:tcPr>
          <w:p>
            <w:pPr>
              <w:pStyle w:val="15"/>
              <w:spacing w:before="71"/>
              <w:ind w:left="0" w:right="218"/>
              <w:jc w:val="right"/>
              <w:rPr>
                <w:rFonts w:ascii="Calibri"/>
                <w:sz w:val="21"/>
                <w:lang w:eastAsia="en-US"/>
              </w:rPr>
            </w:pPr>
            <w:r>
              <w:rPr>
                <w:rFonts w:ascii="Calibri"/>
                <w:sz w:val="21"/>
                <w:lang w:eastAsia="en-US"/>
              </w:rPr>
              <w:t>(0.7,0.8]</w:t>
            </w:r>
          </w:p>
        </w:tc>
        <w:tc>
          <w:tcPr>
            <w:tcW w:w="1274" w:type="dxa"/>
          </w:tcPr>
          <w:p>
            <w:pPr>
              <w:pStyle w:val="15"/>
              <w:spacing w:before="71"/>
              <w:ind w:left="282"/>
              <w:rPr>
                <w:rFonts w:ascii="Calibri"/>
                <w:sz w:val="21"/>
                <w:lang w:eastAsia="en-US"/>
              </w:rPr>
            </w:pPr>
            <w:r>
              <w:rPr>
                <w:rFonts w:ascii="Calibri"/>
                <w:sz w:val="21"/>
                <w:lang w:eastAsia="en-US"/>
              </w:rPr>
              <w:t>(0.8,0.9]</w:t>
            </w:r>
          </w:p>
        </w:tc>
        <w:tc>
          <w:tcPr>
            <w:tcW w:w="1276" w:type="dxa"/>
          </w:tcPr>
          <w:p>
            <w:pPr>
              <w:pStyle w:val="15"/>
              <w:spacing w:before="71"/>
              <w:ind w:left="0" w:right="345"/>
              <w:jc w:val="right"/>
              <w:rPr>
                <w:rFonts w:ascii="Calibri"/>
                <w:sz w:val="21"/>
                <w:lang w:eastAsia="en-US"/>
              </w:rPr>
            </w:pPr>
            <w:r>
              <w:rPr>
                <w:rFonts w:ascii="Calibri"/>
                <w:sz w:val="21"/>
                <w:lang w:eastAsia="en-US"/>
              </w:rPr>
              <w:t>(0.9,1]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57" w:type="dxa"/>
          </w:tcPr>
          <w:p>
            <w:pPr>
              <w:pStyle w:val="15"/>
              <w:spacing w:before="68"/>
              <w:ind w:left="540" w:right="113"/>
              <w:jc w:val="center"/>
              <w:rPr>
                <w:sz w:val="21"/>
                <w:lang w:eastAsia="en-US"/>
              </w:rPr>
            </w:pPr>
            <w:r>
              <w:rPr>
                <w:sz w:val="21"/>
                <w:lang w:eastAsia="en-US"/>
              </w:rPr>
              <w:t>评分</w:t>
            </w:r>
          </w:p>
        </w:tc>
        <w:tc>
          <w:tcPr>
            <w:tcW w:w="1308" w:type="dxa"/>
          </w:tcPr>
          <w:p>
            <w:pPr>
              <w:pStyle w:val="15"/>
              <w:spacing w:before="73"/>
              <w:ind w:left="0" w:right="377"/>
              <w:jc w:val="right"/>
              <w:rPr>
                <w:rFonts w:ascii="Calibri"/>
                <w:sz w:val="21"/>
                <w:lang w:eastAsia="en-US"/>
              </w:rPr>
            </w:pPr>
            <w:r>
              <w:rPr>
                <w:rFonts w:ascii="Calibri"/>
                <w:sz w:val="21"/>
                <w:lang w:eastAsia="en-US"/>
              </w:rPr>
              <w:t>5</w:t>
            </w:r>
          </w:p>
        </w:tc>
        <w:tc>
          <w:tcPr>
            <w:tcW w:w="1231" w:type="dxa"/>
          </w:tcPr>
          <w:p>
            <w:pPr>
              <w:pStyle w:val="15"/>
              <w:spacing w:before="73"/>
              <w:ind w:left="0" w:right="338"/>
              <w:jc w:val="right"/>
              <w:rPr>
                <w:rFonts w:ascii="Calibri"/>
                <w:sz w:val="21"/>
                <w:lang w:eastAsia="en-US"/>
              </w:rPr>
            </w:pPr>
            <w:r>
              <w:rPr>
                <w:rFonts w:ascii="Calibri"/>
                <w:sz w:val="21"/>
                <w:lang w:eastAsia="en-US"/>
              </w:rPr>
              <w:t>4</w:t>
            </w:r>
          </w:p>
        </w:tc>
        <w:tc>
          <w:tcPr>
            <w:tcW w:w="1178" w:type="dxa"/>
          </w:tcPr>
          <w:p>
            <w:pPr>
              <w:pStyle w:val="15"/>
              <w:spacing w:before="73"/>
              <w:ind w:left="0" w:right="311"/>
              <w:jc w:val="right"/>
              <w:rPr>
                <w:rFonts w:ascii="Calibri"/>
                <w:sz w:val="21"/>
                <w:lang w:eastAsia="en-US"/>
              </w:rPr>
            </w:pPr>
            <w:r>
              <w:rPr>
                <w:rFonts w:ascii="Calibri"/>
                <w:sz w:val="21"/>
                <w:lang w:eastAsia="en-US"/>
              </w:rPr>
              <w:t>3</w:t>
            </w:r>
          </w:p>
        </w:tc>
        <w:tc>
          <w:tcPr>
            <w:tcW w:w="1274" w:type="dxa"/>
          </w:tcPr>
          <w:p>
            <w:pPr>
              <w:pStyle w:val="15"/>
              <w:spacing w:before="73"/>
              <w:ind w:left="796"/>
              <w:rPr>
                <w:rFonts w:ascii="Calibri"/>
                <w:sz w:val="21"/>
                <w:lang w:eastAsia="en-US"/>
              </w:rPr>
            </w:pPr>
            <w:r>
              <w:rPr>
                <w:rFonts w:ascii="Calibri"/>
                <w:sz w:val="21"/>
                <w:lang w:eastAsia="en-US"/>
              </w:rPr>
              <w:t>2</w:t>
            </w:r>
          </w:p>
        </w:tc>
        <w:tc>
          <w:tcPr>
            <w:tcW w:w="1276" w:type="dxa"/>
          </w:tcPr>
          <w:p>
            <w:pPr>
              <w:pStyle w:val="15"/>
              <w:spacing w:before="73"/>
              <w:ind w:left="0" w:right="360"/>
              <w:jc w:val="right"/>
              <w:rPr>
                <w:rFonts w:ascii="Calibri"/>
                <w:sz w:val="21"/>
                <w:lang w:eastAsia="en-US"/>
              </w:rPr>
            </w:pPr>
            <w:r>
              <w:rPr>
                <w:rFonts w:ascii="Calibri"/>
                <w:sz w:val="21"/>
                <w:lang w:eastAsia="en-US"/>
              </w:rPr>
              <w:t>1</w:t>
            </w:r>
          </w:p>
        </w:tc>
      </w:tr>
    </w:tbl>
    <w:p>
      <w:pPr>
        <w:spacing w:line="360" w:lineRule="auto"/>
        <w:rPr>
          <w:bCs/>
        </w:rPr>
      </w:pPr>
      <w:r>
        <w:rPr>
          <w:bCs/>
        </w:rPr>
        <w:t>偿债能力评分=资产负债率评分。</w:t>
      </w:r>
    </w:p>
    <w:p>
      <w:pPr>
        <w:spacing w:line="360" w:lineRule="auto"/>
        <w:rPr>
          <w:bCs/>
        </w:rPr>
      </w:pPr>
      <w:r>
        <w:rPr>
          <w:rFonts w:hint="eastAsia"/>
          <w:bCs/>
        </w:rPr>
        <w:t>4</w:t>
      </w:r>
      <w:r>
        <w:rPr>
          <w:bCs/>
        </w:rPr>
        <w:t>、关于发展潜力指标</w:t>
      </w:r>
    </w:p>
    <w:p>
      <w:pPr>
        <w:spacing w:line="360" w:lineRule="auto"/>
        <w:ind w:firstLine="420" w:firstLineChars="200"/>
        <w:rPr>
          <w:bCs/>
        </w:rPr>
      </w:pPr>
      <w:r>
        <w:rPr>
          <w:bCs/>
        </w:rPr>
        <w:t>发展潜力由研发投入、营销投入和市场占有率三项指标衡量。</w:t>
      </w:r>
    </w:p>
    <w:p>
      <w:pPr>
        <w:spacing w:line="360" w:lineRule="auto"/>
        <w:rPr>
          <w:bCs/>
        </w:rPr>
      </w:pPr>
      <w:r>
        <w:rPr>
          <w:bCs/>
        </w:rPr>
        <w:t>1）研发投入</w:t>
      </w:r>
    </w:p>
    <w:p>
      <w:pPr>
        <w:spacing w:line="360" w:lineRule="auto"/>
        <w:ind w:firstLine="420" w:firstLineChars="200"/>
        <w:rPr>
          <w:bCs/>
        </w:rPr>
      </w:pPr>
      <w:r>
        <w:rPr>
          <w:bCs/>
        </w:rPr>
        <w:drawing>
          <wp:anchor distT="0" distB="0" distL="0" distR="0" simplePos="0" relativeHeight="251664384" behindDoc="0" locked="0" layoutInCell="1" allowOverlap="1">
            <wp:simplePos x="0" y="0"/>
            <wp:positionH relativeFrom="page">
              <wp:posOffset>1143000</wp:posOffset>
            </wp:positionH>
            <wp:positionV relativeFrom="paragraph">
              <wp:posOffset>271780</wp:posOffset>
            </wp:positionV>
            <wp:extent cx="3067685" cy="342900"/>
            <wp:effectExtent l="0" t="0" r="0" b="0"/>
            <wp:wrapTopAndBottom/>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jpeg"/>
                    <pic:cNvPicPr>
                      <a:picLocks noChangeAspect="1"/>
                    </pic:cNvPicPr>
                  </pic:nvPicPr>
                  <pic:blipFill>
                    <a:blip r:embed="rId8" cstate="print"/>
                    <a:stretch>
                      <a:fillRect/>
                    </a:stretch>
                  </pic:blipFill>
                  <pic:spPr>
                    <a:xfrm>
                      <a:off x="0" y="0"/>
                      <a:ext cx="3067772" cy="342900"/>
                    </a:xfrm>
                    <a:prstGeom prst="rect">
                      <a:avLst/>
                    </a:prstGeom>
                  </pic:spPr>
                </pic:pic>
              </a:graphicData>
            </a:graphic>
          </wp:anchor>
        </w:drawing>
      </w:r>
      <w:r>
        <w:rPr>
          <w:bCs/>
        </w:rPr>
        <w:t>研发投入效果以产品质量指数衡量，质量指数越高，研发投入效果越好，评分越高。</w:t>
      </w:r>
    </w:p>
    <w:p>
      <w:pPr>
        <w:spacing w:line="360" w:lineRule="auto"/>
        <w:rPr>
          <w:bCs/>
        </w:rPr>
      </w:pPr>
      <w:r>
        <w:rPr>
          <w:bCs/>
        </w:rPr>
        <w:t>如果该公司第 n 季末质量指数等于 0 或者第n 季末最高质量指数等于 0，则研发投入评分为 0。</w:t>
      </w:r>
    </w:p>
    <w:p>
      <w:pPr>
        <w:spacing w:line="360" w:lineRule="auto"/>
        <w:rPr>
          <w:bCs/>
        </w:rPr>
      </w:pPr>
      <w:r>
        <w:rPr>
          <w:bCs/>
        </w:rPr>
        <w:t>2）营销投入</w:t>
      </w:r>
    </w:p>
    <w:p>
      <w:pPr>
        <w:spacing w:line="360" w:lineRule="auto"/>
        <w:ind w:firstLine="420" w:firstLineChars="200"/>
        <w:rPr>
          <w:bCs/>
        </w:rPr>
      </w:pPr>
      <w:r>
        <w:rPr>
          <w:bCs/>
        </w:rPr>
        <w:t>营销投入效果以产品品牌指数来衡量，品牌指数越高，营销投入效果越好，评分越高。</w:t>
      </w:r>
    </w:p>
    <w:p>
      <w:pPr>
        <w:spacing w:line="360" w:lineRule="auto"/>
        <w:rPr>
          <w:bCs/>
        </w:rPr>
      </w:pPr>
      <w:r>
        <w:rPr>
          <w:bCs/>
        </w:rPr>
        <w:t>判定公司是否经营某市场的依据：如果某公司在最后 3 个季度（第 6、7、8 季度）没有投入任何营销费用，系统判定该公司已经放弃该市场，该市场不计算营销投入评分。</w:t>
      </w:r>
    </w:p>
    <w:p>
      <w:pPr>
        <w:spacing w:line="360" w:lineRule="auto"/>
        <w:rPr>
          <w:bCs/>
        </w:rPr>
      </w:pPr>
      <w:r>
        <w:rPr>
          <w:bCs/>
        </w:rPr>
        <w:drawing>
          <wp:inline distT="0" distB="0" distL="0" distR="0">
            <wp:extent cx="3874770" cy="351790"/>
            <wp:effectExtent l="0" t="0" r="0"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jpeg"/>
                    <pic:cNvPicPr>
                      <a:picLocks noChangeAspect="1"/>
                    </pic:cNvPicPr>
                  </pic:nvPicPr>
                  <pic:blipFill>
                    <a:blip r:embed="rId9" cstate="print"/>
                    <a:stretch>
                      <a:fillRect/>
                    </a:stretch>
                  </pic:blipFill>
                  <pic:spPr>
                    <a:xfrm>
                      <a:off x="0" y="0"/>
                      <a:ext cx="3875207" cy="352044"/>
                    </a:xfrm>
                    <a:prstGeom prst="rect">
                      <a:avLst/>
                    </a:prstGeom>
                  </pic:spPr>
                </pic:pic>
              </a:graphicData>
            </a:graphic>
          </wp:inline>
        </w:drawing>
      </w:r>
    </w:p>
    <w:p>
      <w:pPr>
        <w:spacing w:line="360" w:lineRule="auto"/>
        <w:rPr>
          <w:bCs/>
        </w:rPr>
      </w:pPr>
      <w:r>
        <w:rPr>
          <w:bCs/>
        </w:rPr>
        <w:t>营销投入评分=公司所经营的各个市场营销投入评分的平均值</w:t>
      </w:r>
    </w:p>
    <w:p>
      <w:pPr>
        <w:spacing w:line="360" w:lineRule="auto"/>
        <w:ind w:firstLine="420" w:firstLineChars="200"/>
        <w:rPr>
          <w:bCs/>
        </w:rPr>
      </w:pPr>
      <w:r>
        <w:rPr>
          <w:bCs/>
        </w:rPr>
        <w:t>如果该公司某市场第 n 季末品牌指数等于 0 或者某市场第 n 季末最高品牌指数等于 0，则该公司某市场营销投入评分为 0。</w:t>
      </w:r>
    </w:p>
    <w:p>
      <w:pPr>
        <w:spacing w:line="360" w:lineRule="auto"/>
        <w:rPr>
          <w:bCs/>
        </w:rPr>
      </w:pPr>
      <w:r>
        <w:rPr>
          <w:bCs/>
        </w:rPr>
        <w:t>3）市场占有率</w:t>
      </w:r>
    </w:p>
    <w:p>
      <w:pPr>
        <w:spacing w:line="360" w:lineRule="auto"/>
        <w:ind w:firstLine="420" w:firstLineChars="200"/>
        <w:rPr>
          <w:bCs/>
        </w:rPr>
      </w:pPr>
      <w:r>
        <w:rPr>
          <w:bCs/>
        </w:rPr>
        <w:drawing>
          <wp:anchor distT="0" distB="0" distL="0" distR="0" simplePos="0" relativeHeight="251665408" behindDoc="0" locked="0" layoutInCell="1" allowOverlap="1">
            <wp:simplePos x="0" y="0"/>
            <wp:positionH relativeFrom="page">
              <wp:posOffset>1144270</wp:posOffset>
            </wp:positionH>
            <wp:positionV relativeFrom="paragraph">
              <wp:posOffset>357505</wp:posOffset>
            </wp:positionV>
            <wp:extent cx="3220720" cy="349885"/>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jpeg"/>
                    <pic:cNvPicPr>
                      <a:picLocks noChangeAspect="1"/>
                    </pic:cNvPicPr>
                  </pic:nvPicPr>
                  <pic:blipFill>
                    <a:blip r:embed="rId10" cstate="print"/>
                    <a:stretch>
                      <a:fillRect/>
                    </a:stretch>
                  </pic:blipFill>
                  <pic:spPr>
                    <a:xfrm>
                      <a:off x="0" y="0"/>
                      <a:ext cx="3220925" cy="350043"/>
                    </a:xfrm>
                    <a:prstGeom prst="rect">
                      <a:avLst/>
                    </a:prstGeom>
                  </pic:spPr>
                </pic:pic>
              </a:graphicData>
            </a:graphic>
          </wp:anchor>
        </w:drawing>
      </w:r>
      <w:r>
        <w:rPr>
          <w:bCs/>
        </w:rPr>
        <w:t>市场占有率以该公司第 n 季末总市场占有率来衡量，市场占有率越高，评分越高。</w:t>
      </w:r>
    </w:p>
    <w:p>
      <w:pPr>
        <w:spacing w:line="360" w:lineRule="auto"/>
        <w:rPr>
          <w:bCs/>
        </w:rPr>
      </w:pPr>
    </w:p>
    <w:p>
      <w:pPr>
        <w:spacing w:line="360" w:lineRule="auto"/>
        <w:rPr>
          <w:bCs/>
        </w:rPr>
      </w:pPr>
      <w:r>
        <w:rPr>
          <w:bCs/>
        </w:rPr>
        <w:drawing>
          <wp:inline distT="0" distB="0" distL="0" distR="0">
            <wp:extent cx="2673985" cy="328930"/>
            <wp:effectExtent l="0" t="0" r="0"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jpeg"/>
                    <pic:cNvPicPr>
                      <a:picLocks noChangeAspect="1"/>
                    </pic:cNvPicPr>
                  </pic:nvPicPr>
                  <pic:blipFill>
                    <a:blip r:embed="rId11" cstate="print"/>
                    <a:stretch>
                      <a:fillRect/>
                    </a:stretch>
                  </pic:blipFill>
                  <pic:spPr>
                    <a:xfrm>
                      <a:off x="0" y="0"/>
                      <a:ext cx="2674182" cy="329184"/>
                    </a:xfrm>
                    <a:prstGeom prst="rect">
                      <a:avLst/>
                    </a:prstGeom>
                  </pic:spPr>
                </pic:pic>
              </a:graphicData>
            </a:graphic>
          </wp:inline>
        </w:drawing>
      </w:r>
    </w:p>
    <w:p>
      <w:pPr>
        <w:spacing w:line="360" w:lineRule="auto"/>
        <w:ind w:firstLine="420" w:firstLineChars="200"/>
        <w:rPr>
          <w:bCs/>
        </w:rPr>
      </w:pPr>
      <w:r>
        <w:rPr>
          <w:bCs/>
        </w:rPr>
        <w:t>如果该公司第 n 季末市场占有率等于 0 或者第 n 季末最高市场占有率等于 0，则市场占有率评分为 0。</w:t>
      </w:r>
    </w:p>
    <w:p>
      <w:pPr>
        <w:spacing w:line="360" w:lineRule="auto"/>
        <w:ind w:firstLine="420" w:firstLineChars="200"/>
        <w:rPr>
          <w:bCs/>
        </w:rPr>
      </w:pPr>
      <w:r>
        <w:rPr>
          <w:bCs/>
        </w:rPr>
        <w:t>发展潜力评分=研发投入评分+营销投入评分+市场占有率评分。</w:t>
      </w:r>
    </w:p>
    <w:p>
      <w:pPr>
        <w:spacing w:line="360" w:lineRule="auto"/>
        <w:rPr>
          <w:bCs/>
        </w:rPr>
      </w:pPr>
      <w:r>
        <w:rPr>
          <w:bCs/>
        </w:rPr>
        <w:t>5、关于团队表现指标</w:t>
      </w:r>
    </w:p>
    <w:p>
      <w:pPr>
        <w:spacing w:line="360" w:lineRule="auto"/>
        <w:ind w:firstLine="420" w:firstLineChars="200"/>
        <w:rPr>
          <w:bCs/>
        </w:rPr>
      </w:pPr>
      <w:r>
        <w:rPr>
          <w:rFonts w:hint="eastAsia"/>
          <w:bCs/>
        </w:rPr>
        <w:t>团队表现按采购表现、生产表现、财务表现等相关对应指标，满分为 5 分，采用扣分制，按实际发生扣分项目和次数进行累计扣减，扣完为止，具体扣分项如下：</w:t>
      </w:r>
    </w:p>
    <w:tbl>
      <w:tblPr>
        <w:tblStyle w:val="14"/>
        <w:tblW w:w="82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1819"/>
        <w:gridCol w:w="2045"/>
        <w:gridCol w:w="1273"/>
        <w:gridCol w:w="8"/>
        <w:gridCol w:w="2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68" w:type="dxa"/>
          </w:tcPr>
          <w:p>
            <w:pPr>
              <w:pStyle w:val="15"/>
              <w:spacing w:before="125"/>
              <w:ind w:left="221" w:right="209"/>
              <w:jc w:val="center"/>
              <w:rPr>
                <w:sz w:val="21"/>
                <w:lang w:eastAsia="en-US"/>
              </w:rPr>
            </w:pPr>
            <w:r>
              <w:rPr>
                <w:sz w:val="21"/>
                <w:lang w:eastAsia="en-US"/>
              </w:rPr>
              <w:t>序号</w:t>
            </w:r>
          </w:p>
        </w:tc>
        <w:tc>
          <w:tcPr>
            <w:tcW w:w="3864" w:type="dxa"/>
            <w:gridSpan w:val="2"/>
          </w:tcPr>
          <w:p>
            <w:pPr>
              <w:pStyle w:val="15"/>
              <w:spacing w:before="125"/>
              <w:ind w:left="1505" w:right="1492"/>
              <w:jc w:val="center"/>
              <w:rPr>
                <w:sz w:val="21"/>
                <w:lang w:eastAsia="en-US"/>
              </w:rPr>
            </w:pPr>
            <w:r>
              <w:rPr>
                <w:sz w:val="21"/>
                <w:lang w:eastAsia="en-US"/>
              </w:rPr>
              <w:t>扣分项目</w:t>
            </w:r>
          </w:p>
        </w:tc>
        <w:tc>
          <w:tcPr>
            <w:tcW w:w="1281" w:type="dxa"/>
            <w:gridSpan w:val="2"/>
          </w:tcPr>
          <w:p>
            <w:pPr>
              <w:pStyle w:val="15"/>
              <w:spacing w:before="125"/>
              <w:ind w:left="11"/>
              <w:rPr>
                <w:sz w:val="21"/>
                <w:lang w:eastAsia="en-US"/>
              </w:rPr>
            </w:pPr>
            <w:r>
              <w:rPr>
                <w:sz w:val="21"/>
                <w:lang w:eastAsia="en-US"/>
              </w:rPr>
              <w:t>分值</w:t>
            </w:r>
          </w:p>
        </w:tc>
        <w:tc>
          <w:tcPr>
            <w:tcW w:w="2209" w:type="dxa"/>
          </w:tcPr>
          <w:p>
            <w:pPr>
              <w:pStyle w:val="15"/>
              <w:spacing w:before="125"/>
              <w:ind w:left="12"/>
              <w:rPr>
                <w:sz w:val="21"/>
                <w:lang w:eastAsia="en-US"/>
              </w:rPr>
            </w:pPr>
            <w:r>
              <w:rPr>
                <w:sz w:val="21"/>
                <w:lang w:eastAsia="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68" w:type="dxa"/>
          </w:tcPr>
          <w:p>
            <w:pPr>
              <w:pStyle w:val="15"/>
              <w:spacing w:before="136"/>
              <w:ind w:left="8"/>
              <w:jc w:val="center"/>
              <w:rPr>
                <w:rFonts w:ascii="Calibri"/>
                <w:sz w:val="21"/>
                <w:lang w:eastAsia="en-US"/>
              </w:rPr>
            </w:pPr>
            <w:r>
              <w:rPr>
                <w:rFonts w:ascii="Calibri"/>
                <w:sz w:val="21"/>
                <w:lang w:eastAsia="en-US"/>
              </w:rPr>
              <w:t>1</w:t>
            </w:r>
          </w:p>
        </w:tc>
        <w:tc>
          <w:tcPr>
            <w:tcW w:w="1819" w:type="dxa"/>
            <w:vMerge w:val="restart"/>
          </w:tcPr>
          <w:p>
            <w:pPr>
              <w:pStyle w:val="15"/>
              <w:spacing w:before="0"/>
              <w:ind w:left="0" w:firstLine="400"/>
              <w:rPr>
                <w:sz w:val="20"/>
                <w:lang w:eastAsia="zh-CN"/>
              </w:rPr>
            </w:pPr>
          </w:p>
          <w:p>
            <w:pPr>
              <w:pStyle w:val="15"/>
              <w:spacing w:before="0"/>
              <w:ind w:left="0" w:firstLine="400"/>
              <w:rPr>
                <w:sz w:val="20"/>
                <w:lang w:eastAsia="zh-CN"/>
              </w:rPr>
            </w:pPr>
          </w:p>
          <w:p>
            <w:pPr>
              <w:pStyle w:val="15"/>
              <w:spacing w:before="0"/>
              <w:ind w:left="0" w:firstLine="400"/>
              <w:rPr>
                <w:sz w:val="20"/>
                <w:lang w:eastAsia="zh-CN"/>
              </w:rPr>
            </w:pPr>
          </w:p>
          <w:p>
            <w:pPr>
              <w:pStyle w:val="15"/>
              <w:spacing w:before="171"/>
              <w:ind w:left="12"/>
              <w:rPr>
                <w:sz w:val="21"/>
                <w:lang w:eastAsia="zh-CN"/>
              </w:rPr>
            </w:pPr>
            <w:r>
              <w:rPr>
                <w:sz w:val="21"/>
                <w:lang w:eastAsia="zh-CN"/>
              </w:rPr>
              <w:t>非正常负债数值</w:t>
            </w:r>
          </w:p>
          <w:p>
            <w:pPr>
              <w:pStyle w:val="15"/>
              <w:spacing w:before="43"/>
              <w:ind w:left="12"/>
              <w:rPr>
                <w:sz w:val="21"/>
                <w:lang w:eastAsia="zh-CN"/>
              </w:rPr>
            </w:pPr>
            <w:r>
              <w:rPr>
                <w:sz w:val="21"/>
                <w:lang w:eastAsia="zh-CN"/>
              </w:rPr>
              <w:t>（万元）</w:t>
            </w:r>
          </w:p>
        </w:tc>
        <w:tc>
          <w:tcPr>
            <w:tcW w:w="2045" w:type="dxa"/>
          </w:tcPr>
          <w:p>
            <w:pPr>
              <w:pStyle w:val="15"/>
              <w:spacing w:before="130"/>
              <w:ind w:left="10"/>
              <w:rPr>
                <w:rFonts w:ascii="Calibri" w:eastAsia="Calibri"/>
                <w:sz w:val="21"/>
                <w:lang w:eastAsia="en-US"/>
              </w:rPr>
            </w:pPr>
            <w:r>
              <w:rPr>
                <w:rFonts w:ascii="Calibri" w:eastAsia="Calibri"/>
                <w:sz w:val="21"/>
                <w:lang w:eastAsia="en-US"/>
              </w:rPr>
              <w:t>[0</w:t>
            </w:r>
            <w:r>
              <w:rPr>
                <w:sz w:val="21"/>
                <w:lang w:eastAsia="en-US"/>
              </w:rPr>
              <w:t>，</w:t>
            </w:r>
            <w:r>
              <w:rPr>
                <w:rFonts w:ascii="Calibri" w:eastAsia="Calibri"/>
                <w:sz w:val="21"/>
                <w:lang w:eastAsia="en-US"/>
              </w:rPr>
              <w:t>50]</w:t>
            </w:r>
          </w:p>
        </w:tc>
        <w:tc>
          <w:tcPr>
            <w:tcW w:w="1281" w:type="dxa"/>
            <w:gridSpan w:val="2"/>
          </w:tcPr>
          <w:p>
            <w:pPr>
              <w:pStyle w:val="15"/>
              <w:spacing w:before="130"/>
              <w:ind w:left="11"/>
              <w:rPr>
                <w:sz w:val="21"/>
                <w:lang w:eastAsia="en-US"/>
              </w:rPr>
            </w:pPr>
            <w:r>
              <w:rPr>
                <w:rFonts w:ascii="Calibri" w:eastAsia="Calibri"/>
                <w:sz w:val="21"/>
                <w:lang w:eastAsia="en-US"/>
              </w:rPr>
              <w:t xml:space="preserve">0 </w:t>
            </w:r>
            <w:r>
              <w:rPr>
                <w:sz w:val="21"/>
                <w:lang w:eastAsia="en-US"/>
              </w:rPr>
              <w:t>分</w:t>
            </w:r>
          </w:p>
        </w:tc>
        <w:tc>
          <w:tcPr>
            <w:tcW w:w="2209" w:type="dxa"/>
          </w:tcPr>
          <w:p>
            <w:pPr>
              <w:pStyle w:val="15"/>
              <w:spacing w:before="130"/>
              <w:ind w:left="12"/>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68" w:type="dxa"/>
          </w:tcPr>
          <w:p>
            <w:pPr>
              <w:pStyle w:val="15"/>
              <w:spacing w:before="138"/>
              <w:ind w:left="8"/>
              <w:jc w:val="center"/>
              <w:rPr>
                <w:rFonts w:ascii="Calibri"/>
                <w:sz w:val="21"/>
                <w:lang w:eastAsia="en-US"/>
              </w:rPr>
            </w:pPr>
            <w:r>
              <w:rPr>
                <w:rFonts w:ascii="Calibri"/>
                <w:sz w:val="21"/>
                <w:lang w:eastAsia="en-US"/>
              </w:rPr>
              <w:t>2</w:t>
            </w:r>
          </w:p>
        </w:tc>
        <w:tc>
          <w:tcPr>
            <w:tcW w:w="1819" w:type="dxa"/>
            <w:vMerge w:val="continue"/>
            <w:tcBorders>
              <w:top w:val="nil"/>
            </w:tcBorders>
          </w:tcPr>
          <w:p>
            <w:pPr>
              <w:autoSpaceDE w:val="0"/>
              <w:autoSpaceDN w:val="0"/>
              <w:rPr>
                <w:sz w:val="2"/>
                <w:szCs w:val="2"/>
                <w:lang w:eastAsia="en-US"/>
              </w:rPr>
            </w:pPr>
          </w:p>
        </w:tc>
        <w:tc>
          <w:tcPr>
            <w:tcW w:w="2045" w:type="dxa"/>
          </w:tcPr>
          <w:p>
            <w:pPr>
              <w:pStyle w:val="15"/>
              <w:spacing w:before="133"/>
              <w:ind w:left="10"/>
              <w:rPr>
                <w:rFonts w:ascii="Calibri" w:eastAsia="Calibri"/>
                <w:sz w:val="21"/>
                <w:lang w:eastAsia="en-US"/>
              </w:rPr>
            </w:pPr>
            <w:r>
              <w:rPr>
                <w:rFonts w:ascii="Calibri" w:eastAsia="Calibri"/>
                <w:sz w:val="21"/>
                <w:lang w:eastAsia="en-US"/>
              </w:rPr>
              <w:t>(50</w:t>
            </w:r>
            <w:r>
              <w:rPr>
                <w:sz w:val="21"/>
                <w:lang w:eastAsia="en-US"/>
              </w:rPr>
              <w:t>，</w:t>
            </w:r>
            <w:r>
              <w:rPr>
                <w:rFonts w:ascii="Calibri" w:eastAsia="Calibri"/>
                <w:sz w:val="21"/>
                <w:lang w:eastAsia="en-US"/>
              </w:rPr>
              <w:t>100]</w:t>
            </w:r>
          </w:p>
        </w:tc>
        <w:tc>
          <w:tcPr>
            <w:tcW w:w="1281" w:type="dxa"/>
            <w:gridSpan w:val="2"/>
          </w:tcPr>
          <w:p>
            <w:pPr>
              <w:pStyle w:val="15"/>
              <w:spacing w:before="133"/>
              <w:ind w:left="11"/>
              <w:rPr>
                <w:sz w:val="21"/>
                <w:lang w:eastAsia="en-US"/>
              </w:rPr>
            </w:pPr>
            <w:r>
              <w:rPr>
                <w:rFonts w:ascii="Calibri" w:eastAsia="Calibri"/>
                <w:sz w:val="21"/>
                <w:lang w:eastAsia="en-US"/>
              </w:rPr>
              <w:t xml:space="preserve">0.05 </w:t>
            </w:r>
            <w:r>
              <w:rPr>
                <w:sz w:val="21"/>
                <w:lang w:eastAsia="en-US"/>
              </w:rPr>
              <w:t>分</w:t>
            </w:r>
          </w:p>
        </w:tc>
        <w:tc>
          <w:tcPr>
            <w:tcW w:w="2209" w:type="dxa"/>
          </w:tcPr>
          <w:p>
            <w:pPr>
              <w:pStyle w:val="15"/>
              <w:spacing w:before="133"/>
              <w:ind w:left="12"/>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68" w:type="dxa"/>
          </w:tcPr>
          <w:p>
            <w:pPr>
              <w:pStyle w:val="15"/>
              <w:spacing w:before="136"/>
              <w:ind w:left="8"/>
              <w:jc w:val="center"/>
              <w:rPr>
                <w:rFonts w:ascii="Calibri"/>
                <w:sz w:val="21"/>
                <w:lang w:eastAsia="en-US"/>
              </w:rPr>
            </w:pPr>
            <w:r>
              <w:rPr>
                <w:rFonts w:ascii="Calibri"/>
                <w:sz w:val="21"/>
                <w:lang w:eastAsia="en-US"/>
              </w:rPr>
              <w:t>3</w:t>
            </w:r>
          </w:p>
        </w:tc>
        <w:tc>
          <w:tcPr>
            <w:tcW w:w="1819" w:type="dxa"/>
            <w:vMerge w:val="continue"/>
            <w:tcBorders>
              <w:top w:val="nil"/>
            </w:tcBorders>
          </w:tcPr>
          <w:p>
            <w:pPr>
              <w:autoSpaceDE w:val="0"/>
              <w:autoSpaceDN w:val="0"/>
              <w:rPr>
                <w:sz w:val="2"/>
                <w:szCs w:val="2"/>
                <w:lang w:eastAsia="en-US"/>
              </w:rPr>
            </w:pPr>
          </w:p>
        </w:tc>
        <w:tc>
          <w:tcPr>
            <w:tcW w:w="2045" w:type="dxa"/>
          </w:tcPr>
          <w:p>
            <w:pPr>
              <w:pStyle w:val="15"/>
              <w:spacing w:before="130"/>
              <w:ind w:left="10"/>
              <w:rPr>
                <w:rFonts w:ascii="Calibri" w:eastAsia="Calibri"/>
                <w:sz w:val="21"/>
                <w:lang w:eastAsia="en-US"/>
              </w:rPr>
            </w:pPr>
            <w:r>
              <w:rPr>
                <w:rFonts w:ascii="Calibri" w:eastAsia="Calibri"/>
                <w:sz w:val="21"/>
                <w:lang w:eastAsia="en-US"/>
              </w:rPr>
              <w:t>(100</w:t>
            </w:r>
            <w:r>
              <w:rPr>
                <w:sz w:val="21"/>
                <w:lang w:eastAsia="en-US"/>
              </w:rPr>
              <w:t>，</w:t>
            </w:r>
            <w:r>
              <w:rPr>
                <w:rFonts w:ascii="Calibri" w:eastAsia="Calibri"/>
                <w:sz w:val="21"/>
                <w:lang w:eastAsia="en-US"/>
              </w:rPr>
              <w:t>200]</w:t>
            </w:r>
          </w:p>
        </w:tc>
        <w:tc>
          <w:tcPr>
            <w:tcW w:w="1281" w:type="dxa"/>
            <w:gridSpan w:val="2"/>
          </w:tcPr>
          <w:p>
            <w:pPr>
              <w:pStyle w:val="15"/>
              <w:spacing w:before="130"/>
              <w:ind w:left="11"/>
              <w:rPr>
                <w:sz w:val="21"/>
                <w:lang w:eastAsia="en-US"/>
              </w:rPr>
            </w:pPr>
            <w:r>
              <w:rPr>
                <w:rFonts w:ascii="Calibri" w:eastAsia="Calibri"/>
                <w:sz w:val="21"/>
                <w:lang w:eastAsia="en-US"/>
              </w:rPr>
              <w:t xml:space="preserve">0.10 </w:t>
            </w:r>
            <w:r>
              <w:rPr>
                <w:sz w:val="21"/>
                <w:lang w:eastAsia="en-US"/>
              </w:rPr>
              <w:t>分</w:t>
            </w:r>
          </w:p>
        </w:tc>
        <w:tc>
          <w:tcPr>
            <w:tcW w:w="2209" w:type="dxa"/>
          </w:tcPr>
          <w:p>
            <w:pPr>
              <w:pStyle w:val="15"/>
              <w:spacing w:before="130"/>
              <w:ind w:left="12"/>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68" w:type="dxa"/>
          </w:tcPr>
          <w:p>
            <w:pPr>
              <w:pStyle w:val="15"/>
              <w:spacing w:before="138"/>
              <w:ind w:left="8"/>
              <w:jc w:val="center"/>
              <w:rPr>
                <w:rFonts w:ascii="Calibri"/>
                <w:sz w:val="21"/>
                <w:lang w:eastAsia="en-US"/>
              </w:rPr>
            </w:pPr>
            <w:r>
              <w:rPr>
                <w:rFonts w:ascii="Calibri"/>
                <w:sz w:val="21"/>
                <w:lang w:eastAsia="en-US"/>
              </w:rPr>
              <w:t>4</w:t>
            </w:r>
          </w:p>
        </w:tc>
        <w:tc>
          <w:tcPr>
            <w:tcW w:w="1819" w:type="dxa"/>
            <w:vMerge w:val="continue"/>
            <w:tcBorders>
              <w:top w:val="nil"/>
            </w:tcBorders>
          </w:tcPr>
          <w:p>
            <w:pPr>
              <w:autoSpaceDE w:val="0"/>
              <w:autoSpaceDN w:val="0"/>
              <w:rPr>
                <w:sz w:val="2"/>
                <w:szCs w:val="2"/>
                <w:lang w:eastAsia="en-US"/>
              </w:rPr>
            </w:pPr>
          </w:p>
        </w:tc>
        <w:tc>
          <w:tcPr>
            <w:tcW w:w="2045" w:type="dxa"/>
          </w:tcPr>
          <w:p>
            <w:pPr>
              <w:pStyle w:val="15"/>
              <w:spacing w:before="133"/>
              <w:ind w:left="10"/>
              <w:rPr>
                <w:rFonts w:ascii="Calibri" w:hAnsi="Calibri" w:eastAsia="Calibri"/>
                <w:sz w:val="21"/>
                <w:lang w:eastAsia="en-US"/>
              </w:rPr>
            </w:pPr>
            <w:r>
              <w:rPr>
                <w:rFonts w:ascii="Calibri" w:hAnsi="Calibri" w:eastAsia="Calibri"/>
                <w:sz w:val="21"/>
                <w:lang w:eastAsia="en-US"/>
              </w:rPr>
              <w:t>(200</w:t>
            </w:r>
            <w:r>
              <w:rPr>
                <w:sz w:val="21"/>
                <w:lang w:eastAsia="en-US"/>
              </w:rPr>
              <w:t>，</w:t>
            </w:r>
            <w:r>
              <w:rPr>
                <w:rFonts w:ascii="Calibri" w:hAnsi="Calibri" w:eastAsia="Calibri"/>
                <w:sz w:val="21"/>
                <w:lang w:eastAsia="en-US"/>
              </w:rPr>
              <w:t>+</w:t>
            </w:r>
            <w:r>
              <w:rPr>
                <w:sz w:val="21"/>
                <w:lang w:eastAsia="en-US"/>
              </w:rPr>
              <w:t>∞</w:t>
            </w:r>
            <w:r>
              <w:rPr>
                <w:rFonts w:ascii="Calibri" w:hAnsi="Calibri" w:eastAsia="Calibri"/>
                <w:sz w:val="21"/>
                <w:lang w:eastAsia="en-US"/>
              </w:rPr>
              <w:t>)</w:t>
            </w:r>
          </w:p>
        </w:tc>
        <w:tc>
          <w:tcPr>
            <w:tcW w:w="1281" w:type="dxa"/>
            <w:gridSpan w:val="2"/>
          </w:tcPr>
          <w:p>
            <w:pPr>
              <w:pStyle w:val="15"/>
              <w:spacing w:before="133"/>
              <w:ind w:left="11"/>
              <w:rPr>
                <w:sz w:val="21"/>
                <w:lang w:eastAsia="en-US"/>
              </w:rPr>
            </w:pPr>
            <w:r>
              <w:rPr>
                <w:rFonts w:ascii="Calibri" w:eastAsia="Calibri"/>
                <w:sz w:val="21"/>
                <w:lang w:eastAsia="en-US"/>
              </w:rPr>
              <w:t xml:space="preserve">0.15 </w:t>
            </w:r>
            <w:r>
              <w:rPr>
                <w:sz w:val="21"/>
                <w:lang w:eastAsia="en-US"/>
              </w:rPr>
              <w:t>分</w:t>
            </w:r>
          </w:p>
        </w:tc>
        <w:tc>
          <w:tcPr>
            <w:tcW w:w="2209" w:type="dxa"/>
          </w:tcPr>
          <w:p>
            <w:pPr>
              <w:pStyle w:val="15"/>
              <w:spacing w:before="133"/>
              <w:ind w:left="12"/>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68" w:type="dxa"/>
          </w:tcPr>
          <w:p>
            <w:pPr>
              <w:pStyle w:val="15"/>
              <w:spacing w:before="136"/>
              <w:ind w:left="8"/>
              <w:jc w:val="center"/>
              <w:rPr>
                <w:rFonts w:ascii="Calibri"/>
                <w:sz w:val="21"/>
                <w:lang w:eastAsia="en-US"/>
              </w:rPr>
            </w:pPr>
            <w:r>
              <w:rPr>
                <w:rFonts w:ascii="Calibri"/>
                <w:sz w:val="21"/>
                <w:lang w:eastAsia="en-US"/>
              </w:rPr>
              <w:t>5</w:t>
            </w:r>
          </w:p>
        </w:tc>
        <w:tc>
          <w:tcPr>
            <w:tcW w:w="1819" w:type="dxa"/>
            <w:vMerge w:val="restart"/>
          </w:tcPr>
          <w:p>
            <w:pPr>
              <w:pStyle w:val="15"/>
              <w:spacing w:before="0"/>
              <w:ind w:left="0" w:firstLine="400"/>
              <w:rPr>
                <w:sz w:val="20"/>
                <w:lang w:eastAsia="en-US"/>
              </w:rPr>
            </w:pPr>
          </w:p>
          <w:p>
            <w:pPr>
              <w:pStyle w:val="15"/>
              <w:spacing w:before="0"/>
              <w:ind w:left="0" w:firstLine="400"/>
              <w:rPr>
                <w:sz w:val="20"/>
                <w:lang w:eastAsia="en-US"/>
              </w:rPr>
            </w:pPr>
          </w:p>
          <w:p>
            <w:pPr>
              <w:pStyle w:val="15"/>
              <w:spacing w:before="1"/>
              <w:ind w:left="0"/>
              <w:rPr>
                <w:sz w:val="21"/>
                <w:lang w:eastAsia="en-US"/>
              </w:rPr>
            </w:pPr>
          </w:p>
          <w:p>
            <w:pPr>
              <w:pStyle w:val="15"/>
              <w:spacing w:before="1"/>
              <w:ind w:left="12"/>
              <w:rPr>
                <w:sz w:val="21"/>
                <w:lang w:eastAsia="en-US"/>
              </w:rPr>
            </w:pPr>
            <w:r>
              <w:rPr>
                <w:sz w:val="21"/>
                <w:lang w:eastAsia="en-US"/>
              </w:rPr>
              <w:t>借款剩余值</w:t>
            </w:r>
          </w:p>
          <w:p>
            <w:pPr>
              <w:pStyle w:val="15"/>
              <w:spacing w:before="42"/>
              <w:ind w:left="12"/>
              <w:rPr>
                <w:sz w:val="21"/>
                <w:lang w:eastAsia="en-US"/>
              </w:rPr>
            </w:pPr>
            <w:r>
              <w:rPr>
                <w:sz w:val="21"/>
                <w:lang w:eastAsia="en-US"/>
              </w:rPr>
              <w:t>（万元）</w:t>
            </w:r>
          </w:p>
        </w:tc>
        <w:tc>
          <w:tcPr>
            <w:tcW w:w="2045" w:type="dxa"/>
          </w:tcPr>
          <w:p>
            <w:pPr>
              <w:pStyle w:val="15"/>
              <w:spacing w:before="130"/>
              <w:ind w:left="10"/>
              <w:rPr>
                <w:rFonts w:ascii="Calibri" w:eastAsia="Calibri"/>
                <w:sz w:val="21"/>
                <w:lang w:eastAsia="en-US"/>
              </w:rPr>
            </w:pPr>
            <w:r>
              <w:rPr>
                <w:rFonts w:ascii="Calibri" w:eastAsia="Calibri"/>
                <w:sz w:val="21"/>
                <w:lang w:eastAsia="en-US"/>
              </w:rPr>
              <w:t>[0</w:t>
            </w:r>
            <w:r>
              <w:rPr>
                <w:sz w:val="21"/>
                <w:lang w:eastAsia="en-US"/>
              </w:rPr>
              <w:t>，</w:t>
            </w:r>
            <w:r>
              <w:rPr>
                <w:rFonts w:ascii="Calibri" w:eastAsia="Calibri"/>
                <w:sz w:val="21"/>
                <w:lang w:eastAsia="en-US"/>
              </w:rPr>
              <w:t>100]</w:t>
            </w:r>
          </w:p>
        </w:tc>
        <w:tc>
          <w:tcPr>
            <w:tcW w:w="1281" w:type="dxa"/>
            <w:gridSpan w:val="2"/>
          </w:tcPr>
          <w:p>
            <w:pPr>
              <w:pStyle w:val="15"/>
              <w:spacing w:before="130"/>
              <w:ind w:left="11"/>
              <w:rPr>
                <w:sz w:val="21"/>
                <w:lang w:eastAsia="en-US"/>
              </w:rPr>
            </w:pPr>
            <w:r>
              <w:rPr>
                <w:rFonts w:ascii="Calibri" w:eastAsia="Calibri"/>
                <w:sz w:val="21"/>
                <w:lang w:eastAsia="en-US"/>
              </w:rPr>
              <w:t xml:space="preserve">0 </w:t>
            </w:r>
            <w:r>
              <w:rPr>
                <w:sz w:val="21"/>
                <w:lang w:eastAsia="en-US"/>
              </w:rPr>
              <w:t>分</w:t>
            </w:r>
          </w:p>
        </w:tc>
        <w:tc>
          <w:tcPr>
            <w:tcW w:w="2209" w:type="dxa"/>
          </w:tcPr>
          <w:p>
            <w:pPr>
              <w:pStyle w:val="15"/>
              <w:spacing w:before="130"/>
              <w:ind w:left="12"/>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868" w:type="dxa"/>
          </w:tcPr>
          <w:p>
            <w:pPr>
              <w:pStyle w:val="15"/>
              <w:spacing w:before="138"/>
              <w:ind w:left="8"/>
              <w:jc w:val="center"/>
              <w:rPr>
                <w:rFonts w:ascii="Calibri"/>
                <w:sz w:val="21"/>
                <w:lang w:eastAsia="en-US"/>
              </w:rPr>
            </w:pPr>
            <w:r>
              <w:rPr>
                <w:rFonts w:ascii="Calibri"/>
                <w:sz w:val="21"/>
                <w:lang w:eastAsia="en-US"/>
              </w:rPr>
              <w:t>6</w:t>
            </w:r>
          </w:p>
        </w:tc>
        <w:tc>
          <w:tcPr>
            <w:tcW w:w="1819" w:type="dxa"/>
            <w:vMerge w:val="continue"/>
            <w:tcBorders>
              <w:top w:val="nil"/>
            </w:tcBorders>
          </w:tcPr>
          <w:p>
            <w:pPr>
              <w:autoSpaceDE w:val="0"/>
              <w:autoSpaceDN w:val="0"/>
              <w:rPr>
                <w:sz w:val="2"/>
                <w:szCs w:val="2"/>
                <w:lang w:eastAsia="en-US"/>
              </w:rPr>
            </w:pPr>
          </w:p>
        </w:tc>
        <w:tc>
          <w:tcPr>
            <w:tcW w:w="2045" w:type="dxa"/>
          </w:tcPr>
          <w:p>
            <w:pPr>
              <w:pStyle w:val="15"/>
              <w:spacing w:before="133"/>
              <w:ind w:left="10"/>
              <w:rPr>
                <w:rFonts w:ascii="Calibri" w:eastAsia="Calibri"/>
                <w:sz w:val="21"/>
                <w:lang w:eastAsia="en-US"/>
              </w:rPr>
            </w:pPr>
            <w:r>
              <w:rPr>
                <w:rFonts w:ascii="Calibri" w:eastAsia="Calibri"/>
                <w:sz w:val="21"/>
                <w:lang w:eastAsia="en-US"/>
              </w:rPr>
              <w:t>(100</w:t>
            </w:r>
            <w:r>
              <w:rPr>
                <w:sz w:val="21"/>
                <w:lang w:eastAsia="en-US"/>
              </w:rPr>
              <w:t>，</w:t>
            </w:r>
            <w:r>
              <w:rPr>
                <w:rFonts w:ascii="Calibri" w:eastAsia="Calibri"/>
                <w:sz w:val="21"/>
                <w:lang w:eastAsia="en-US"/>
              </w:rPr>
              <w:t>200]</w:t>
            </w:r>
          </w:p>
        </w:tc>
        <w:tc>
          <w:tcPr>
            <w:tcW w:w="1281" w:type="dxa"/>
            <w:gridSpan w:val="2"/>
          </w:tcPr>
          <w:p>
            <w:pPr>
              <w:pStyle w:val="15"/>
              <w:spacing w:before="133"/>
              <w:ind w:left="11"/>
              <w:rPr>
                <w:sz w:val="21"/>
                <w:lang w:eastAsia="en-US"/>
              </w:rPr>
            </w:pPr>
            <w:r>
              <w:rPr>
                <w:rFonts w:ascii="Calibri" w:eastAsia="Calibri"/>
                <w:sz w:val="21"/>
                <w:lang w:eastAsia="en-US"/>
              </w:rPr>
              <w:t xml:space="preserve">0.05 </w:t>
            </w:r>
            <w:r>
              <w:rPr>
                <w:sz w:val="21"/>
                <w:lang w:eastAsia="en-US"/>
              </w:rPr>
              <w:t>分</w:t>
            </w:r>
          </w:p>
        </w:tc>
        <w:tc>
          <w:tcPr>
            <w:tcW w:w="2209" w:type="dxa"/>
          </w:tcPr>
          <w:p>
            <w:pPr>
              <w:pStyle w:val="15"/>
              <w:spacing w:before="133"/>
              <w:ind w:left="12"/>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868" w:type="dxa"/>
          </w:tcPr>
          <w:p>
            <w:pPr>
              <w:pStyle w:val="15"/>
              <w:spacing w:before="135"/>
              <w:ind w:left="8"/>
              <w:jc w:val="center"/>
              <w:rPr>
                <w:rFonts w:ascii="Calibri"/>
                <w:sz w:val="21"/>
                <w:lang w:eastAsia="en-US"/>
              </w:rPr>
            </w:pPr>
            <w:r>
              <w:rPr>
                <w:rFonts w:ascii="Calibri"/>
                <w:sz w:val="21"/>
                <w:lang w:eastAsia="en-US"/>
              </w:rPr>
              <w:t>7</w:t>
            </w:r>
          </w:p>
        </w:tc>
        <w:tc>
          <w:tcPr>
            <w:tcW w:w="1819" w:type="dxa"/>
            <w:vMerge w:val="continue"/>
            <w:tcBorders>
              <w:top w:val="nil"/>
            </w:tcBorders>
          </w:tcPr>
          <w:p>
            <w:pPr>
              <w:autoSpaceDE w:val="0"/>
              <w:autoSpaceDN w:val="0"/>
              <w:rPr>
                <w:sz w:val="2"/>
                <w:szCs w:val="2"/>
                <w:lang w:eastAsia="en-US"/>
              </w:rPr>
            </w:pPr>
          </w:p>
        </w:tc>
        <w:tc>
          <w:tcPr>
            <w:tcW w:w="2045" w:type="dxa"/>
          </w:tcPr>
          <w:p>
            <w:pPr>
              <w:pStyle w:val="15"/>
              <w:spacing w:before="130"/>
              <w:ind w:left="10"/>
              <w:rPr>
                <w:rFonts w:ascii="Calibri" w:eastAsia="Calibri"/>
                <w:sz w:val="21"/>
                <w:lang w:eastAsia="en-US"/>
              </w:rPr>
            </w:pPr>
            <w:r>
              <w:rPr>
                <w:rFonts w:ascii="Calibri" w:eastAsia="Calibri"/>
                <w:sz w:val="21"/>
                <w:lang w:eastAsia="en-US"/>
              </w:rPr>
              <w:t>(200</w:t>
            </w:r>
            <w:r>
              <w:rPr>
                <w:sz w:val="21"/>
                <w:lang w:eastAsia="en-US"/>
              </w:rPr>
              <w:t>，</w:t>
            </w:r>
            <w:r>
              <w:rPr>
                <w:rFonts w:ascii="Calibri" w:eastAsia="Calibri"/>
                <w:sz w:val="21"/>
                <w:lang w:eastAsia="en-US"/>
              </w:rPr>
              <w:t>300]</w:t>
            </w:r>
          </w:p>
        </w:tc>
        <w:tc>
          <w:tcPr>
            <w:tcW w:w="1281" w:type="dxa"/>
            <w:gridSpan w:val="2"/>
          </w:tcPr>
          <w:p>
            <w:pPr>
              <w:pStyle w:val="15"/>
              <w:spacing w:before="130"/>
              <w:ind w:left="11"/>
              <w:rPr>
                <w:sz w:val="21"/>
                <w:lang w:eastAsia="en-US"/>
              </w:rPr>
            </w:pPr>
            <w:r>
              <w:rPr>
                <w:rFonts w:ascii="Calibri" w:eastAsia="Calibri"/>
                <w:sz w:val="21"/>
                <w:lang w:eastAsia="en-US"/>
              </w:rPr>
              <w:t xml:space="preserve">0.10 </w:t>
            </w:r>
            <w:r>
              <w:rPr>
                <w:sz w:val="21"/>
                <w:lang w:eastAsia="en-US"/>
              </w:rPr>
              <w:t>分</w:t>
            </w:r>
          </w:p>
        </w:tc>
        <w:tc>
          <w:tcPr>
            <w:tcW w:w="2209" w:type="dxa"/>
          </w:tcPr>
          <w:p>
            <w:pPr>
              <w:pStyle w:val="15"/>
              <w:spacing w:before="130"/>
              <w:ind w:left="12"/>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68" w:type="dxa"/>
          </w:tcPr>
          <w:p>
            <w:pPr>
              <w:pStyle w:val="15"/>
              <w:spacing w:before="136"/>
              <w:ind w:left="8"/>
              <w:jc w:val="center"/>
              <w:rPr>
                <w:rFonts w:ascii="Calibri"/>
                <w:sz w:val="21"/>
                <w:lang w:eastAsia="en-US"/>
              </w:rPr>
            </w:pPr>
            <w:r>
              <w:rPr>
                <w:rFonts w:ascii="Calibri"/>
                <w:sz w:val="21"/>
                <w:lang w:eastAsia="en-US"/>
              </w:rPr>
              <w:t>8</w:t>
            </w:r>
          </w:p>
        </w:tc>
        <w:tc>
          <w:tcPr>
            <w:tcW w:w="1819" w:type="dxa"/>
            <w:vMerge w:val="continue"/>
            <w:tcBorders>
              <w:top w:val="nil"/>
            </w:tcBorders>
          </w:tcPr>
          <w:p>
            <w:pPr>
              <w:autoSpaceDE w:val="0"/>
              <w:autoSpaceDN w:val="0"/>
              <w:rPr>
                <w:sz w:val="2"/>
                <w:szCs w:val="2"/>
                <w:lang w:eastAsia="en-US"/>
              </w:rPr>
            </w:pPr>
          </w:p>
        </w:tc>
        <w:tc>
          <w:tcPr>
            <w:tcW w:w="2045" w:type="dxa"/>
          </w:tcPr>
          <w:p>
            <w:pPr>
              <w:pStyle w:val="15"/>
              <w:spacing w:before="130"/>
              <w:ind w:left="10"/>
              <w:rPr>
                <w:rFonts w:ascii="Calibri" w:hAnsi="Calibri" w:eastAsia="Calibri"/>
                <w:sz w:val="21"/>
                <w:lang w:eastAsia="en-US"/>
              </w:rPr>
            </w:pPr>
            <w:r>
              <w:rPr>
                <w:rFonts w:ascii="Calibri" w:hAnsi="Calibri" w:eastAsia="Calibri"/>
                <w:sz w:val="21"/>
                <w:lang w:eastAsia="en-US"/>
              </w:rPr>
              <w:t>(300</w:t>
            </w:r>
            <w:r>
              <w:rPr>
                <w:sz w:val="21"/>
                <w:lang w:eastAsia="en-US"/>
              </w:rPr>
              <w:t>，</w:t>
            </w:r>
            <w:r>
              <w:rPr>
                <w:rFonts w:ascii="Calibri" w:hAnsi="Calibri" w:eastAsia="Calibri"/>
                <w:sz w:val="21"/>
                <w:lang w:eastAsia="en-US"/>
              </w:rPr>
              <w:t>+</w:t>
            </w:r>
            <w:r>
              <w:rPr>
                <w:sz w:val="21"/>
                <w:lang w:eastAsia="en-US"/>
              </w:rPr>
              <w:t>∞</w:t>
            </w:r>
            <w:r>
              <w:rPr>
                <w:rFonts w:ascii="Calibri" w:hAnsi="Calibri" w:eastAsia="Calibri"/>
                <w:sz w:val="21"/>
                <w:lang w:eastAsia="en-US"/>
              </w:rPr>
              <w:t>)</w:t>
            </w:r>
          </w:p>
        </w:tc>
        <w:tc>
          <w:tcPr>
            <w:tcW w:w="1281" w:type="dxa"/>
            <w:gridSpan w:val="2"/>
          </w:tcPr>
          <w:p>
            <w:pPr>
              <w:pStyle w:val="15"/>
              <w:spacing w:before="130"/>
              <w:ind w:left="11"/>
              <w:rPr>
                <w:sz w:val="21"/>
                <w:lang w:eastAsia="en-US"/>
              </w:rPr>
            </w:pPr>
            <w:r>
              <w:rPr>
                <w:rFonts w:ascii="Calibri" w:eastAsia="Calibri"/>
                <w:sz w:val="21"/>
                <w:lang w:eastAsia="en-US"/>
              </w:rPr>
              <w:t xml:space="preserve">0.15 </w:t>
            </w:r>
            <w:r>
              <w:rPr>
                <w:sz w:val="21"/>
                <w:lang w:eastAsia="en-US"/>
              </w:rPr>
              <w:t>分</w:t>
            </w:r>
          </w:p>
        </w:tc>
        <w:tc>
          <w:tcPr>
            <w:tcW w:w="2209" w:type="dxa"/>
          </w:tcPr>
          <w:p>
            <w:pPr>
              <w:pStyle w:val="15"/>
              <w:spacing w:before="130"/>
              <w:ind w:left="12"/>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68" w:type="dxa"/>
          </w:tcPr>
          <w:p>
            <w:pPr>
              <w:pStyle w:val="15"/>
              <w:spacing w:before="168"/>
              <w:ind w:left="395"/>
              <w:rPr>
                <w:rFonts w:ascii="Calibri"/>
                <w:sz w:val="21"/>
                <w:lang w:eastAsia="en-US"/>
              </w:rPr>
            </w:pPr>
            <w:r>
              <w:rPr>
                <w:rFonts w:ascii="Calibri"/>
                <w:sz w:val="21"/>
                <w:lang w:eastAsia="en-US"/>
              </w:rPr>
              <w:t>9</w:t>
            </w:r>
          </w:p>
        </w:tc>
        <w:tc>
          <w:tcPr>
            <w:tcW w:w="3864" w:type="dxa"/>
            <w:gridSpan w:val="2"/>
          </w:tcPr>
          <w:p>
            <w:pPr>
              <w:pStyle w:val="15"/>
              <w:spacing w:before="162"/>
              <w:ind w:left="12"/>
              <w:rPr>
                <w:sz w:val="21"/>
                <w:lang w:eastAsia="en-US"/>
              </w:rPr>
            </w:pPr>
            <w:r>
              <w:rPr>
                <w:sz w:val="21"/>
                <w:lang w:eastAsia="en-US"/>
              </w:rPr>
              <w:t>原材料非正常采购</w:t>
            </w:r>
          </w:p>
        </w:tc>
        <w:tc>
          <w:tcPr>
            <w:tcW w:w="1273" w:type="dxa"/>
          </w:tcPr>
          <w:p>
            <w:pPr>
              <w:pStyle w:val="15"/>
              <w:spacing w:before="162"/>
              <w:ind w:left="10"/>
              <w:rPr>
                <w:sz w:val="21"/>
                <w:lang w:eastAsia="en-US"/>
              </w:rPr>
            </w:pPr>
            <w:r>
              <w:rPr>
                <w:rFonts w:ascii="Calibri" w:eastAsia="Calibri"/>
                <w:sz w:val="21"/>
                <w:lang w:eastAsia="en-US"/>
              </w:rPr>
              <w:t xml:space="preserve">0.2 </w:t>
            </w:r>
            <w:r>
              <w:rPr>
                <w:sz w:val="21"/>
                <w:lang w:eastAsia="en-US"/>
              </w:rPr>
              <w:t>分</w:t>
            </w:r>
          </w:p>
        </w:tc>
        <w:tc>
          <w:tcPr>
            <w:tcW w:w="2217" w:type="dxa"/>
            <w:gridSpan w:val="2"/>
          </w:tcPr>
          <w:p>
            <w:pPr>
              <w:pStyle w:val="15"/>
              <w:spacing w:before="162"/>
              <w:ind w:left="11"/>
              <w:rPr>
                <w:sz w:val="21"/>
                <w:lang w:eastAsia="en-US"/>
              </w:rPr>
            </w:pPr>
            <w:r>
              <w:rPr>
                <w:sz w:val="21"/>
                <w:lang w:eastAsia="en-US"/>
              </w:rPr>
              <w:t>按次扣分累加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868" w:type="dxa"/>
          </w:tcPr>
          <w:p>
            <w:pPr>
              <w:pStyle w:val="15"/>
              <w:spacing w:before="0"/>
              <w:ind w:left="342"/>
              <w:rPr>
                <w:rFonts w:ascii="Calibri"/>
                <w:sz w:val="21"/>
                <w:lang w:eastAsia="en-US"/>
              </w:rPr>
            </w:pPr>
          </w:p>
          <w:p>
            <w:pPr>
              <w:pStyle w:val="15"/>
              <w:spacing w:before="0"/>
              <w:ind w:left="342"/>
              <w:rPr>
                <w:rFonts w:ascii="Calibri"/>
                <w:sz w:val="21"/>
                <w:lang w:eastAsia="en-US"/>
              </w:rPr>
            </w:pPr>
            <w:r>
              <w:rPr>
                <w:rFonts w:ascii="Calibri"/>
                <w:sz w:val="21"/>
                <w:lang w:eastAsia="en-US"/>
              </w:rPr>
              <w:t>10</w:t>
            </w:r>
          </w:p>
        </w:tc>
        <w:tc>
          <w:tcPr>
            <w:tcW w:w="3864" w:type="dxa"/>
            <w:gridSpan w:val="2"/>
          </w:tcPr>
          <w:p>
            <w:pPr>
              <w:pStyle w:val="15"/>
              <w:spacing w:before="76"/>
              <w:ind w:left="12"/>
              <w:rPr>
                <w:sz w:val="21"/>
                <w:lang w:eastAsia="zh-CN"/>
              </w:rPr>
            </w:pPr>
            <w:r>
              <w:rPr>
                <w:sz w:val="21"/>
                <w:lang w:eastAsia="zh-CN"/>
              </w:rPr>
              <w:t>计划生产量与实际生产量不符</w:t>
            </w:r>
          </w:p>
          <w:p>
            <w:pPr>
              <w:pStyle w:val="15"/>
              <w:spacing w:before="43"/>
              <w:ind w:left="12"/>
              <w:rPr>
                <w:sz w:val="21"/>
                <w:lang w:eastAsia="en-US"/>
              </w:rPr>
            </w:pPr>
            <w:r>
              <w:rPr>
                <w:sz w:val="21"/>
                <w:lang w:eastAsia="en-US"/>
              </w:rPr>
              <w:t xml:space="preserve">（大于等于 </w:t>
            </w:r>
            <w:r>
              <w:rPr>
                <w:rFonts w:ascii="Calibri" w:eastAsia="Calibri"/>
                <w:sz w:val="21"/>
                <w:lang w:eastAsia="en-US"/>
              </w:rPr>
              <w:t xml:space="preserve">10 </w:t>
            </w:r>
            <w:r>
              <w:rPr>
                <w:sz w:val="21"/>
                <w:lang w:eastAsia="en-US"/>
              </w:rPr>
              <w:t>个）</w:t>
            </w:r>
          </w:p>
        </w:tc>
        <w:tc>
          <w:tcPr>
            <w:tcW w:w="1273" w:type="dxa"/>
          </w:tcPr>
          <w:p>
            <w:pPr>
              <w:pStyle w:val="15"/>
              <w:spacing w:before="1"/>
              <w:ind w:left="0" w:firstLine="360"/>
              <w:rPr>
                <w:sz w:val="18"/>
                <w:lang w:eastAsia="en-US"/>
              </w:rPr>
            </w:pPr>
          </w:p>
          <w:p>
            <w:pPr>
              <w:pStyle w:val="15"/>
              <w:spacing w:before="1"/>
              <w:ind w:left="10"/>
              <w:rPr>
                <w:sz w:val="21"/>
                <w:lang w:eastAsia="en-US"/>
              </w:rPr>
            </w:pPr>
            <w:r>
              <w:rPr>
                <w:rFonts w:ascii="Calibri" w:eastAsia="Calibri"/>
                <w:sz w:val="21"/>
                <w:lang w:eastAsia="en-US"/>
              </w:rPr>
              <w:t xml:space="preserve">0.5 </w:t>
            </w:r>
            <w:r>
              <w:rPr>
                <w:sz w:val="21"/>
                <w:lang w:eastAsia="en-US"/>
              </w:rPr>
              <w:t>分</w:t>
            </w:r>
          </w:p>
        </w:tc>
        <w:tc>
          <w:tcPr>
            <w:tcW w:w="2217" w:type="dxa"/>
            <w:gridSpan w:val="2"/>
          </w:tcPr>
          <w:p>
            <w:pPr>
              <w:pStyle w:val="15"/>
              <w:spacing w:before="1"/>
              <w:ind w:left="0" w:firstLine="360"/>
              <w:rPr>
                <w:sz w:val="18"/>
                <w:lang w:eastAsia="en-US"/>
              </w:rPr>
            </w:pPr>
          </w:p>
          <w:p>
            <w:pPr>
              <w:pStyle w:val="15"/>
              <w:spacing w:before="1"/>
              <w:ind w:left="11"/>
              <w:rPr>
                <w:sz w:val="21"/>
                <w:lang w:eastAsia="en-US"/>
              </w:rPr>
            </w:pPr>
            <w:r>
              <w:rPr>
                <w:sz w:val="21"/>
                <w:lang w:eastAsia="en-US"/>
              </w:rPr>
              <w:t>按次扣分累加</w:t>
            </w:r>
          </w:p>
        </w:tc>
      </w:tr>
    </w:tbl>
    <w:p>
      <w:pPr>
        <w:spacing w:line="360" w:lineRule="auto"/>
        <w:ind w:firstLine="420" w:firstLineChars="200"/>
        <w:rPr>
          <w:bCs/>
        </w:rPr>
      </w:pPr>
      <w:r>
        <w:rPr>
          <w:rFonts w:hint="eastAsia"/>
          <w:bCs/>
        </w:rPr>
        <w:t>经营绩效得分=盈利能力评分+偿债能力评分+发展潜力评分+团队表现</w:t>
      </w:r>
    </w:p>
    <w:p>
      <w:pPr>
        <w:spacing w:line="360" w:lineRule="auto"/>
        <w:ind w:firstLine="420" w:firstLineChars="200"/>
        <w:rPr>
          <w:bCs/>
        </w:rPr>
      </w:pPr>
      <w:r>
        <w:rPr>
          <w:rFonts w:hint="eastAsia"/>
          <w:bCs/>
        </w:rPr>
        <w:t>评分注意：如果参赛团队出现破产情况，则经营绩效得分为 0 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A7308"/>
    <w:multiLevelType w:val="singleLevel"/>
    <w:tmpl w:val="F47A7308"/>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zcwOGRjMGZjZjBlZmNhMTRiY2ExNTMyY2RlNjkifQ=="/>
  </w:docVars>
  <w:rsids>
    <w:rsidRoot w:val="007E3F2C"/>
    <w:rsid w:val="000118A4"/>
    <w:rsid w:val="000356BA"/>
    <w:rsid w:val="00051801"/>
    <w:rsid w:val="00093F3D"/>
    <w:rsid w:val="000C15DC"/>
    <w:rsid w:val="001441B6"/>
    <w:rsid w:val="001556E2"/>
    <w:rsid w:val="001943B8"/>
    <w:rsid w:val="001A3B94"/>
    <w:rsid w:val="001C1F08"/>
    <w:rsid w:val="001F0F3A"/>
    <w:rsid w:val="00206D8C"/>
    <w:rsid w:val="0021344B"/>
    <w:rsid w:val="002502D4"/>
    <w:rsid w:val="00266076"/>
    <w:rsid w:val="002679AE"/>
    <w:rsid w:val="002F6134"/>
    <w:rsid w:val="00321BF6"/>
    <w:rsid w:val="00372388"/>
    <w:rsid w:val="003D7382"/>
    <w:rsid w:val="003E6DAF"/>
    <w:rsid w:val="004521B2"/>
    <w:rsid w:val="00453724"/>
    <w:rsid w:val="0045378B"/>
    <w:rsid w:val="004602DE"/>
    <w:rsid w:val="004671F1"/>
    <w:rsid w:val="00485DC0"/>
    <w:rsid w:val="004A054C"/>
    <w:rsid w:val="004B5227"/>
    <w:rsid w:val="004C16F2"/>
    <w:rsid w:val="00507DBE"/>
    <w:rsid w:val="0052713A"/>
    <w:rsid w:val="005C4AB9"/>
    <w:rsid w:val="005E512A"/>
    <w:rsid w:val="00674A1B"/>
    <w:rsid w:val="006A187B"/>
    <w:rsid w:val="006A2214"/>
    <w:rsid w:val="006A2FCE"/>
    <w:rsid w:val="006B336E"/>
    <w:rsid w:val="006E3498"/>
    <w:rsid w:val="006F1EB6"/>
    <w:rsid w:val="00717279"/>
    <w:rsid w:val="00743F8A"/>
    <w:rsid w:val="007A4F6D"/>
    <w:rsid w:val="007A5055"/>
    <w:rsid w:val="007C17C8"/>
    <w:rsid w:val="007C3BAA"/>
    <w:rsid w:val="007E3F2C"/>
    <w:rsid w:val="0080551E"/>
    <w:rsid w:val="00812151"/>
    <w:rsid w:val="00815B44"/>
    <w:rsid w:val="00833E74"/>
    <w:rsid w:val="00871C0F"/>
    <w:rsid w:val="00886B2A"/>
    <w:rsid w:val="00892DC2"/>
    <w:rsid w:val="008A55E2"/>
    <w:rsid w:val="008E6CEB"/>
    <w:rsid w:val="008E7E1D"/>
    <w:rsid w:val="00907267"/>
    <w:rsid w:val="009B66E3"/>
    <w:rsid w:val="00A3291C"/>
    <w:rsid w:val="00A53679"/>
    <w:rsid w:val="00A7186C"/>
    <w:rsid w:val="00A9449C"/>
    <w:rsid w:val="00A96119"/>
    <w:rsid w:val="00AC17F6"/>
    <w:rsid w:val="00AC400C"/>
    <w:rsid w:val="00AD6F1E"/>
    <w:rsid w:val="00B03C22"/>
    <w:rsid w:val="00B07855"/>
    <w:rsid w:val="00B10F03"/>
    <w:rsid w:val="00B12E93"/>
    <w:rsid w:val="00B32DF9"/>
    <w:rsid w:val="00B77D69"/>
    <w:rsid w:val="00B84279"/>
    <w:rsid w:val="00BA40A6"/>
    <w:rsid w:val="00BA64AF"/>
    <w:rsid w:val="00C033E3"/>
    <w:rsid w:val="00C17647"/>
    <w:rsid w:val="00C248B3"/>
    <w:rsid w:val="00C80F58"/>
    <w:rsid w:val="00C83069"/>
    <w:rsid w:val="00CB1A82"/>
    <w:rsid w:val="00D37E89"/>
    <w:rsid w:val="00D93861"/>
    <w:rsid w:val="00DE7ADA"/>
    <w:rsid w:val="00E07D84"/>
    <w:rsid w:val="00E472E0"/>
    <w:rsid w:val="00E76831"/>
    <w:rsid w:val="00ED7D46"/>
    <w:rsid w:val="00F13F8F"/>
    <w:rsid w:val="00F2217F"/>
    <w:rsid w:val="00F627D6"/>
    <w:rsid w:val="00F75FE8"/>
    <w:rsid w:val="00FB444B"/>
    <w:rsid w:val="00FC000D"/>
    <w:rsid w:val="00FD65CB"/>
    <w:rsid w:val="00FF5A32"/>
    <w:rsid w:val="02A413B4"/>
    <w:rsid w:val="03042A43"/>
    <w:rsid w:val="13F03991"/>
    <w:rsid w:val="18C57543"/>
    <w:rsid w:val="1C2E6600"/>
    <w:rsid w:val="24FD7FDE"/>
    <w:rsid w:val="2C2E3173"/>
    <w:rsid w:val="2DAE1C92"/>
    <w:rsid w:val="35511DD6"/>
    <w:rsid w:val="37555B1D"/>
    <w:rsid w:val="397B5C21"/>
    <w:rsid w:val="3A2741DC"/>
    <w:rsid w:val="47515805"/>
    <w:rsid w:val="4A7C6103"/>
    <w:rsid w:val="4E612611"/>
    <w:rsid w:val="54402EDE"/>
    <w:rsid w:val="56DC0E70"/>
    <w:rsid w:val="72805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1"/>
    <w:pPr>
      <w:autoSpaceDE w:val="0"/>
      <w:autoSpaceDN w:val="0"/>
      <w:spacing w:before="43"/>
      <w:ind w:left="140"/>
      <w:jc w:val="left"/>
    </w:pPr>
    <w:rPr>
      <w:rFonts w:ascii="宋体" w:hAnsi="宋体" w:eastAsia="宋体" w:cs="宋体"/>
      <w:kern w:val="0"/>
      <w:szCs w:val="21"/>
      <w:lang w:val="zh-CN" w:bidi="zh-CN"/>
    </w:r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批注框文本 字符"/>
    <w:basedOn w:val="8"/>
    <w:link w:val="3"/>
    <w:semiHidden/>
    <w:qFormat/>
    <w:uiPriority w:val="99"/>
    <w:rPr>
      <w:sz w:val="18"/>
      <w:szCs w:val="18"/>
    </w:rPr>
  </w:style>
  <w:style w:type="character" w:customStyle="1" w:styleId="12">
    <w:name w:val="页眉 字符"/>
    <w:basedOn w:val="8"/>
    <w:link w:val="5"/>
    <w:qFormat/>
    <w:uiPriority w:val="99"/>
    <w:rPr>
      <w:kern w:val="2"/>
      <w:sz w:val="18"/>
      <w:szCs w:val="18"/>
    </w:rPr>
  </w:style>
  <w:style w:type="character" w:customStyle="1" w:styleId="13">
    <w:name w:val="页脚 字符"/>
    <w:basedOn w:val="8"/>
    <w:link w:val="4"/>
    <w:qFormat/>
    <w:uiPriority w:val="99"/>
    <w:rPr>
      <w:kern w:val="2"/>
      <w:sz w:val="18"/>
      <w:szCs w:val="18"/>
    </w:rPr>
  </w:style>
  <w:style w:type="table" w:customStyle="1" w:styleId="14">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5">
    <w:name w:val="Table Paragraph"/>
    <w:basedOn w:val="1"/>
    <w:qFormat/>
    <w:uiPriority w:val="1"/>
    <w:pPr>
      <w:autoSpaceDE w:val="0"/>
      <w:autoSpaceDN w:val="0"/>
      <w:spacing w:before="22"/>
      <w:ind w:left="107"/>
      <w:jc w:val="left"/>
    </w:pPr>
    <w:rPr>
      <w:rFonts w:ascii="宋体" w:hAnsi="宋体" w:eastAsia="宋体" w:cs="宋体"/>
      <w:kern w:val="0"/>
      <w:sz w:val="22"/>
      <w:lang w:val="zh-CN" w:bidi="zh-CN"/>
    </w:rPr>
  </w:style>
  <w:style w:type="character" w:customStyle="1" w:styleId="16">
    <w:name w:val="正文文本 字符"/>
    <w:basedOn w:val="8"/>
    <w:link w:val="2"/>
    <w:qFormat/>
    <w:uiPriority w:val="1"/>
    <w:rPr>
      <w:rFonts w:ascii="宋体" w:hAnsi="宋体" w:eastAsia="宋体" w:cs="宋体"/>
      <w:sz w:val="21"/>
      <w:szCs w:val="21"/>
      <w:lang w:val="zh-CN" w:bidi="zh-CN"/>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8336</Words>
  <Characters>8928</Characters>
  <Lines>97</Lines>
  <Paragraphs>27</Paragraphs>
  <TotalTime>5</TotalTime>
  <ScaleCrop>false</ScaleCrop>
  <LinksUpToDate>false</LinksUpToDate>
  <CharactersWithSpaces>9356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2020-12-08T04:55:00Z</dcterms:created>
  <dc:creator>Administrator</dc:creator>
  <cp:lastModifiedBy>孔祥威</cp:lastModifiedBy>
  <cp:lastPrinted>2020-12-10T04:12:00Z</cp:lastPrinted>
  <dcterms:modified xsi:type="dcterms:W3CDTF">2023-03-20T09:23:41Z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44A13D14EDE04196ABBC0AE4DE1D5E9D</vt:lpwstr>
  </property>
</Properties>
</file>